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CC13EB">
        <w:rPr>
          <w:rFonts w:ascii="Meiryo" w:eastAsia="Meiryo" w:hAnsi="Meiryo" w:cs="Meiryo"/>
          <w:color w:val="33CCCC"/>
          <w:sz w:val="28"/>
          <w:szCs w:val="28"/>
          <w:lang w:val="es-ES" w:eastAsia="en-US"/>
        </w:rPr>
        <w:t>1</w:t>
      </w:r>
      <w:r w:rsidR="00C14267">
        <w:rPr>
          <w:rFonts w:ascii="Meiryo" w:eastAsia="Meiryo" w:hAnsi="Meiryo" w:cs="Meiryo"/>
          <w:color w:val="33CCCC"/>
          <w:sz w:val="28"/>
          <w:szCs w:val="28"/>
          <w:lang w:val="es-ES" w:eastAsia="en-US"/>
        </w:rPr>
        <w:t>1</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14267">
        <w:rPr>
          <w:rFonts w:ascii="Arial Black" w:hAnsi="Arial Black"/>
          <w:b/>
          <w:color w:val="33CCCC"/>
          <w:sz w:val="36"/>
          <w:szCs w:val="28"/>
        </w:rPr>
        <w:t>SUMINISTRO DE GASES MEDICINALES PARA DIFERENTES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CC13EB">
        <w:rPr>
          <w:rFonts w:asciiTheme="minorHAnsi" w:hAnsiTheme="minorHAnsi" w:cs="Arial"/>
        </w:rPr>
        <w:t>1</w:t>
      </w:r>
      <w:r w:rsidR="00221835">
        <w:rPr>
          <w:rFonts w:asciiTheme="minorHAnsi" w:hAnsiTheme="minorHAnsi" w:cs="Arial"/>
        </w:rPr>
        <w:t>1</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221835">
        <w:rPr>
          <w:rFonts w:asciiTheme="minorHAnsi" w:hAnsiTheme="minorHAnsi" w:cs="Arial"/>
        </w:rPr>
        <w:t>1</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11</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644EBE"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El </w:t>
      </w:r>
      <w:r w:rsidR="009A4F2F">
        <w:rPr>
          <w:rFonts w:asciiTheme="minorHAnsi" w:hAnsiTheme="minorHAnsi" w:cs="Arial"/>
        </w:rPr>
        <w:t xml:space="preserve">Suministro de Gases Medicinales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se realizará con recursos del tipo de presupuesto 110101 FASSA</w:t>
      </w:r>
      <w:r w:rsidR="00955C15">
        <w:rPr>
          <w:rFonts w:asciiTheme="minorHAnsi" w:hAnsiTheme="minorHAnsi" w:cs="Arial"/>
        </w:rPr>
        <w:t xml:space="preserve"> y </w:t>
      </w:r>
      <w:r w:rsidR="00955C15" w:rsidRPr="00541E82">
        <w:rPr>
          <w:rFonts w:asciiTheme="minorHAnsi" w:hAnsiTheme="minorHAnsi" w:cs="Arial"/>
        </w:rPr>
        <w:t>Recursos del presupuesto Seguro Popular Anexo IV</w:t>
      </w:r>
      <w:r w:rsidR="00955C15">
        <w:rPr>
          <w:rFonts w:asciiTheme="minorHAnsi" w:hAnsiTheme="minorHAnsi" w:cs="Arial"/>
        </w:rPr>
        <w:t>,</w:t>
      </w:r>
      <w:r w:rsidR="00B64229" w:rsidRPr="00541E82">
        <w:rPr>
          <w:rFonts w:asciiTheme="minorHAnsi" w:hAnsiTheme="minorHAnsi" w:cs="Arial"/>
        </w:rPr>
        <w:t xml:space="preserve"> </w:t>
      </w:r>
      <w:r w:rsidR="00B64229" w:rsidRPr="00955C15">
        <w:rPr>
          <w:rFonts w:asciiTheme="minorHAnsi" w:hAnsiTheme="minorHAnsi" w:cs="Arial"/>
        </w:rPr>
        <w:t xml:space="preserve">Programa </w:t>
      </w:r>
      <w:r w:rsidR="00A91686" w:rsidRPr="00955C15">
        <w:rPr>
          <w:rFonts w:asciiTheme="minorHAnsi" w:hAnsiTheme="minorHAnsi" w:cs="Arial"/>
        </w:rPr>
        <w:t>020508</w:t>
      </w:r>
      <w:r w:rsidR="00955C15" w:rsidRPr="00955C15">
        <w:rPr>
          <w:rFonts w:asciiTheme="minorHAnsi" w:hAnsiTheme="minorHAnsi" w:cs="Arial"/>
        </w:rPr>
        <w:t>, 191608,</w:t>
      </w:r>
      <w:r w:rsidR="00A91686" w:rsidRPr="00955C15">
        <w:rPr>
          <w:rFonts w:asciiTheme="minorHAnsi" w:hAnsiTheme="minorHAnsi" w:cs="Arial"/>
        </w:rPr>
        <w:t xml:space="preserve"> </w:t>
      </w:r>
      <w:r w:rsidR="001C24ED">
        <w:rPr>
          <w:rFonts w:asciiTheme="minorHAnsi" w:hAnsiTheme="minorHAnsi" w:cs="Arial"/>
        </w:rPr>
        <w:t xml:space="preserve">201608, </w:t>
      </w:r>
      <w:r w:rsidR="00955C15" w:rsidRPr="00955C15">
        <w:rPr>
          <w:rFonts w:asciiTheme="minorHAnsi" w:hAnsiTheme="minorHAnsi" w:cs="Arial"/>
        </w:rPr>
        <w:t xml:space="preserve">210508, 220508, 240508, 250508, </w:t>
      </w:r>
      <w:r w:rsidR="001C24ED">
        <w:rPr>
          <w:rFonts w:asciiTheme="minorHAnsi" w:hAnsiTheme="minorHAnsi" w:cs="Arial"/>
        </w:rPr>
        <w:t>360508, 370508</w:t>
      </w:r>
      <w:r w:rsidR="00955C15" w:rsidRPr="00955C15">
        <w:rPr>
          <w:rFonts w:asciiTheme="minorHAnsi" w:hAnsiTheme="minorHAnsi" w:cs="Arial"/>
        </w:rPr>
        <w:t>,</w:t>
      </w:r>
      <w:r w:rsidR="00A91686" w:rsidRPr="00955C15">
        <w:rPr>
          <w:rFonts w:asciiTheme="minorHAnsi" w:hAnsiTheme="minorHAnsi" w:cs="Arial"/>
        </w:rPr>
        <w:t xml:space="preserve"> </w:t>
      </w:r>
      <w:r w:rsidR="001C24ED">
        <w:rPr>
          <w:rFonts w:asciiTheme="minorHAnsi" w:hAnsiTheme="minorHAnsi" w:cs="Arial"/>
        </w:rPr>
        <w:t xml:space="preserve">381508, 390508, </w:t>
      </w:r>
      <w:r w:rsidR="005272F7">
        <w:rPr>
          <w:rFonts w:asciiTheme="minorHAnsi" w:hAnsiTheme="minorHAnsi" w:cs="Arial"/>
        </w:rPr>
        <w:t xml:space="preserve">460708, </w:t>
      </w:r>
      <w:r w:rsidR="00955C15" w:rsidRPr="00955C15">
        <w:rPr>
          <w:rFonts w:asciiTheme="minorHAnsi" w:hAnsiTheme="minorHAnsi" w:cs="Arial"/>
        </w:rPr>
        <w:t>CI0508, NM0508 Y RN0508,</w:t>
      </w:r>
      <w:r w:rsidR="00B64229" w:rsidRPr="00955C15">
        <w:rPr>
          <w:rFonts w:asciiTheme="minorHAnsi" w:hAnsiTheme="minorHAnsi" w:cs="Arial"/>
        </w:rPr>
        <w:t xml:space="preserve"> Partida </w:t>
      </w:r>
      <w:r w:rsidR="00A91686" w:rsidRPr="00955C15">
        <w:rPr>
          <w:rFonts w:asciiTheme="minorHAnsi" w:hAnsiTheme="minorHAnsi" w:cs="Arial"/>
        </w:rPr>
        <w:t>25301</w:t>
      </w:r>
      <w:r w:rsidR="001A0EBB" w:rsidRPr="00955C15">
        <w:rPr>
          <w:rFonts w:asciiTheme="minorHAnsi" w:hAnsiTheme="minorHAnsi" w:cs="Arial"/>
        </w:rPr>
        <w:t xml:space="preserve"> y</w:t>
      </w:r>
      <w:r w:rsidR="001A0EBB" w:rsidRPr="00541E82">
        <w:rPr>
          <w:rFonts w:asciiTheme="minorHAnsi" w:hAnsiTheme="minorHAnsi" w:cs="Arial"/>
        </w:rPr>
        <w:t xml:space="preserve"> </w:t>
      </w:r>
      <w:r w:rsidR="001A0EBB" w:rsidRPr="00955C15">
        <w:rPr>
          <w:rFonts w:asciiTheme="minorHAnsi" w:hAnsiTheme="minorHAnsi" w:cs="Arial"/>
        </w:rPr>
        <w:t xml:space="preserve">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suministro deberá ser de Lunes a Sábado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contrato quedando la Convocante en  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ambiente, seguridad en el manejo y  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ind w:left="1134"/>
        <w:jc w:val="both"/>
        <w:rPr>
          <w:rFonts w:asciiTheme="minorHAnsi" w:hAnsiTheme="minorHAnsi" w:cs="Arial"/>
          <w:b/>
          <w:bCs/>
          <w:i/>
          <w:iCs/>
          <w:kern w:val="24"/>
          <w:szCs w:val="24"/>
          <w:lang w:val="es-ES" w:eastAsia="es-MX"/>
        </w:rPr>
      </w:pP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NMX-S-011-1970 “RECIPIENTES SIN COSTURA PARA GASES-A ALTA PRESION”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proofErr w:type="spellStart"/>
      <w:r w:rsidRPr="00933613">
        <w:rPr>
          <w:rFonts w:asciiTheme="minorHAnsi" w:hAnsiTheme="minorHAnsi" w:cs="Arial"/>
          <w:kern w:val="24"/>
          <w:szCs w:val="24"/>
          <w:lang w:val="es-ES" w:eastAsia="es-MX"/>
        </w:rPr>
        <w:t>Pharmacopeia</w:t>
      </w:r>
      <w:proofErr w:type="spellEnd"/>
      <w:r w:rsidRPr="00933613">
        <w:rPr>
          <w:rFonts w:asciiTheme="minorHAnsi" w:hAnsiTheme="minorHAnsi" w:cs="Arial"/>
          <w:kern w:val="24"/>
          <w:szCs w:val="24"/>
          <w:lang w:val="es-ES" w:eastAsia="es-MX"/>
        </w:rPr>
        <w:t xml:space="preserve"> (USP 35 NF30)</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B81B08">
        <w:rPr>
          <w:rFonts w:asciiTheme="minorHAnsi" w:hAnsiTheme="minorHAnsi" w:cstheme="minorHAnsi"/>
        </w:rPr>
        <w:t>0</w:t>
      </w:r>
      <w:r w:rsidR="00203F50">
        <w:rPr>
          <w:rFonts w:asciiTheme="minorHAnsi" w:hAnsiTheme="minorHAnsi" w:cstheme="minorHAnsi"/>
        </w:rPr>
        <w:t>1</w:t>
      </w:r>
      <w:r w:rsidR="00B81B08">
        <w:rPr>
          <w:rFonts w:asciiTheme="minorHAnsi" w:hAnsiTheme="minorHAnsi" w:cstheme="minorHAnsi"/>
        </w:rPr>
        <w:t xml:space="preserve"> </w:t>
      </w:r>
      <w:r w:rsidRPr="00B81B08">
        <w:rPr>
          <w:rFonts w:asciiTheme="minorHAnsi" w:hAnsiTheme="minorHAnsi" w:cstheme="minorHAnsi"/>
        </w:rPr>
        <w:t>de Enero del 2016 al 31 de Diciembre del 2016</w:t>
      </w:r>
      <w:r w:rsidR="004B3FCD">
        <w:rPr>
          <w:rFonts w:asciiTheme="minorHAnsi" w:hAnsiTheme="minorHAnsi" w:cstheme="minorHAnsi"/>
        </w:rPr>
        <w:t>.</w:t>
      </w:r>
    </w:p>
    <w:p w:rsidR="00203F50" w:rsidRPr="00203F50" w:rsidRDefault="004B3FCD" w:rsidP="00203F50">
      <w:pPr>
        <w:tabs>
          <w:tab w:val="left" w:pos="851"/>
        </w:tabs>
        <w:ind w:left="709" w:right="-1"/>
        <w:jc w:val="both"/>
        <w:rPr>
          <w:rFonts w:asciiTheme="minorHAnsi" w:hAnsiTheme="minorHAnsi"/>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w:t>
      </w:r>
      <w:smartTag w:uri="urn:schemas-microsoft-com:office:smarttags" w:element="PersonName">
        <w:smartTagPr>
          <w:attr w:name="ProductID" w:val="la Convocante"/>
        </w:smartTagPr>
        <w:r w:rsidRPr="00933613">
          <w:rPr>
            <w:rFonts w:asciiTheme="minorHAnsi" w:hAnsiTheme="minorHAnsi" w:cs="Arial"/>
          </w:rPr>
          <w:t xml:space="preserve">la </w:t>
        </w:r>
        <w:r w:rsidRPr="00933613">
          <w:rPr>
            <w:rFonts w:asciiTheme="minorHAnsi" w:hAnsiTheme="minorHAnsi" w:cs="Arial"/>
            <w:b/>
          </w:rPr>
          <w:t>Convocante</w:t>
        </w:r>
      </w:smartTag>
      <w:r w:rsidRPr="00933613">
        <w:rPr>
          <w:rFonts w:asciiTheme="minorHAnsi" w:hAnsiTheme="minorHAnsi" w:cs="Arial"/>
        </w:rPr>
        <w:t xml:space="preserve"> no otorgará prórroga alguna en caso de retraso.</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Dr. Cornelio González Ramos No. 400, Libramiento Carretera Monterrey-Miguel Alemán en Cerralvo, Nuevo León C.P. 65900.</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proofErr w:type="spellStart"/>
            <w:r w:rsidRPr="00203F50">
              <w:rPr>
                <w:rFonts w:ascii="Century Gothic" w:hAnsi="Century Gothic" w:cstheme="minorHAnsi"/>
                <w:sz w:val="14"/>
                <w:szCs w:val="14"/>
              </w:rPr>
              <w:t>Amel</w:t>
            </w:r>
            <w:proofErr w:type="spellEnd"/>
            <w:r w:rsidRPr="00203F50">
              <w:rPr>
                <w:rFonts w:ascii="Century Gothic" w:hAnsi="Century Gothic" w:cstheme="minorHAnsi"/>
                <w:sz w:val="14"/>
                <w:szCs w:val="14"/>
              </w:rPr>
              <w:t xml:space="preserve"> </w:t>
            </w:r>
            <w:proofErr w:type="spellStart"/>
            <w:r w:rsidRPr="00203F50">
              <w:rPr>
                <w:rFonts w:ascii="Century Gothic" w:hAnsi="Century Gothic" w:cstheme="minorHAnsi"/>
                <w:sz w:val="14"/>
                <w:szCs w:val="14"/>
              </w:rPr>
              <w:t>Barocio</w:t>
            </w:r>
            <w:proofErr w:type="spellEnd"/>
            <w:r w:rsidRPr="00203F50">
              <w:rPr>
                <w:rFonts w:ascii="Century Gothic" w:hAnsi="Century Gothic" w:cstheme="minorHAnsi"/>
                <w:sz w:val="14"/>
                <w:szCs w:val="14"/>
              </w:rPr>
              <w:t xml:space="preserve"> y Panamá, Barrio Zaragoza, Montemorelos, N. L.</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 xml:space="preserve">Ave. Álamo y Naranjo s/n, Col. </w:t>
            </w:r>
            <w:proofErr w:type="spellStart"/>
            <w:r w:rsidRPr="005D5F60">
              <w:rPr>
                <w:rFonts w:ascii="Century Gothic" w:hAnsi="Century Gothic" w:cstheme="minorHAnsi"/>
                <w:sz w:val="14"/>
                <w:szCs w:val="14"/>
              </w:rPr>
              <w:t>Provileón</w:t>
            </w:r>
            <w:proofErr w:type="spellEnd"/>
            <w:r w:rsidRPr="005D5F60">
              <w:rPr>
                <w:rFonts w:ascii="Century Gothic" w:hAnsi="Century Gothic" w:cstheme="minorHAnsi"/>
                <w:sz w:val="14"/>
                <w:szCs w:val="14"/>
              </w:rPr>
              <w:t xml:space="preserve"> Linares,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 xml:space="preserve">Isabel la Católica No. 110, </w:t>
            </w:r>
            <w:proofErr w:type="spellStart"/>
            <w:r w:rsidRPr="005D5F60">
              <w:rPr>
                <w:rFonts w:ascii="Century Gothic" w:hAnsi="Century Gothic" w:cstheme="minorHAnsi"/>
                <w:sz w:val="14"/>
                <w:szCs w:val="14"/>
              </w:rPr>
              <w:t>Fracc</w:t>
            </w:r>
            <w:proofErr w:type="spellEnd"/>
            <w:r w:rsidRPr="005D5F60">
              <w:rPr>
                <w:rFonts w:ascii="Century Gothic" w:hAnsi="Century Gothic" w:cstheme="minorHAnsi"/>
                <w:sz w:val="14"/>
                <w:szCs w:val="14"/>
              </w:rPr>
              <w:t>. Centro, Monterrey, N.L., C.P. 64720.</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4871CF">
        <w:trPr>
          <w:trHeight w:val="71"/>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Almazán y Rodrigo Gomez , Col. Francisco I. Madero C.P. 64249</w:t>
            </w:r>
          </w:p>
        </w:tc>
      </w:tr>
      <w:tr w:rsidR="00221835"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UNEME Unidad de Urgencias Medicas</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Paseo Maria Luis sur no. ext. s/n  Col. Bosques de las Lomas C.P. 67324</w:t>
            </w:r>
          </w:p>
        </w:tc>
      </w:tr>
    </w:tbl>
    <w:p w:rsidR="00095E6C" w:rsidRDefault="00095E6C" w:rsidP="00A1692B">
      <w:pPr>
        <w:ind w:right="-1"/>
        <w:jc w:val="both"/>
        <w:rPr>
          <w:rFonts w:asciiTheme="minorHAnsi" w:hAnsiTheme="minorHAnsi" w:cs="Arial"/>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Default="005D5F60" w:rsidP="005D5F60">
      <w:pPr>
        <w:ind w:left="1134"/>
        <w:jc w:val="both"/>
        <w:rPr>
          <w:rFonts w:asciiTheme="minorHAnsi" w:hAnsiTheme="minorHAnsi" w:cs="Arial"/>
          <w:kern w:val="24"/>
          <w:szCs w:val="24"/>
          <w:lang w:eastAsia="es-MX"/>
        </w:rPr>
      </w:pP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w:t>
      </w:r>
      <w:proofErr w:type="spellStart"/>
      <w:r w:rsidRPr="00933613">
        <w:rPr>
          <w:rFonts w:asciiTheme="minorHAnsi" w:hAnsiTheme="minorHAnsi" w:cs="Arial"/>
          <w:kern w:val="24"/>
          <w:szCs w:val="24"/>
          <w:lang w:eastAsia="es-MX"/>
        </w:rPr>
        <w:t>Dewar</w:t>
      </w:r>
      <w:proofErr w:type="spellEnd"/>
      <w:r w:rsidRPr="00933613">
        <w:rPr>
          <w:rFonts w:asciiTheme="minorHAnsi" w:hAnsiTheme="minorHAnsi" w:cs="Arial"/>
          <w:kern w:val="24"/>
          <w:szCs w:val="24"/>
          <w:lang w:eastAsia="es-MX"/>
        </w:rPr>
        <w:t xml:space="preserve"> (</w:t>
      </w:r>
      <w:r w:rsidRPr="00933613">
        <w:rPr>
          <w:rFonts w:asciiTheme="minorHAnsi" w:hAnsiTheme="minorHAnsi" w:cs="Arial"/>
          <w:szCs w:val="24"/>
          <w:lang w:val="es-ES"/>
        </w:rPr>
        <w:t xml:space="preserve">PGS, </w:t>
      </w:r>
      <w:proofErr w:type="spellStart"/>
      <w:r w:rsidRPr="00933613">
        <w:rPr>
          <w:rFonts w:asciiTheme="minorHAnsi" w:hAnsiTheme="minorHAnsi" w:cs="Arial"/>
          <w:szCs w:val="24"/>
          <w:lang w:val="es-ES"/>
        </w:rPr>
        <w:t>Permacyl</w:t>
      </w:r>
      <w:proofErr w:type="spellEnd"/>
      <w:r w:rsidRPr="00933613">
        <w:rPr>
          <w:rFonts w:asciiTheme="minorHAnsi" w:hAnsiTheme="minorHAnsi" w:cs="Arial"/>
          <w:szCs w:val="24"/>
          <w:lang w:val="es-ES"/>
        </w:rPr>
        <w:t xml:space="preserve"> y </w:t>
      </w:r>
      <w:proofErr w:type="spellStart"/>
      <w:r w:rsidRPr="00933613">
        <w:rPr>
          <w:rFonts w:asciiTheme="minorHAnsi" w:hAnsiTheme="minorHAnsi" w:cs="Arial"/>
          <w:szCs w:val="24"/>
          <w:lang w:val="es-ES"/>
        </w:rPr>
        <w:t>Microbulk</w:t>
      </w:r>
      <w:proofErr w:type="spellEnd"/>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Cilindros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Pr="00933613" w:rsidRDefault="005D5F60" w:rsidP="005D5F60">
      <w:pPr>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la Subdirección de Recursos Materiales de la convocante.</w:t>
      </w:r>
    </w:p>
    <w:p w:rsidR="005D5F60" w:rsidRDefault="005D5F60" w:rsidP="005D5F60">
      <w:pPr>
        <w:suppressAutoHyphens/>
        <w:ind w:left="851"/>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w:t>
      </w:r>
      <w:proofErr w:type="spellStart"/>
      <w:r w:rsidRPr="00933613">
        <w:rPr>
          <w:rFonts w:asciiTheme="minorHAnsi" w:hAnsiTheme="minorHAnsi" w:cs="Arial"/>
          <w:kern w:val="24"/>
          <w:szCs w:val="24"/>
          <w:lang w:val="es-ES" w:eastAsia="es-MX"/>
        </w:rPr>
        <w:t>hr</w:t>
      </w:r>
      <w:proofErr w:type="spellEnd"/>
      <w:r w:rsidRPr="00933613">
        <w:rPr>
          <w:rFonts w:asciiTheme="minorHAnsi" w:hAnsiTheme="minorHAnsi" w:cs="Arial"/>
          <w:kern w:val="24"/>
          <w:szCs w:val="24"/>
          <w:lang w:val="es-ES" w:eastAsia="es-MX"/>
        </w:rPr>
        <w:t xml:space="preserve">. Siguientes a la petición inicial  y en los casos de otro tipo de gases el tiempo </w:t>
      </w:r>
      <w:r>
        <w:rPr>
          <w:rFonts w:asciiTheme="minorHAnsi" w:hAnsiTheme="minorHAnsi" w:cs="Arial"/>
          <w:kern w:val="24"/>
          <w:szCs w:val="24"/>
          <w:lang w:val="es-ES" w:eastAsia="es-MX"/>
        </w:rPr>
        <w:t xml:space="preserve">máximo de entrega será de 72 </w:t>
      </w:r>
      <w:proofErr w:type="spellStart"/>
      <w:r>
        <w:rPr>
          <w:rFonts w:asciiTheme="minorHAnsi" w:hAnsiTheme="minorHAnsi" w:cs="Arial"/>
          <w:kern w:val="24"/>
          <w:szCs w:val="24"/>
          <w:lang w:val="es-ES" w:eastAsia="es-MX"/>
        </w:rPr>
        <w:t>hr</w:t>
      </w:r>
      <w:proofErr w:type="spellEnd"/>
      <w:r>
        <w:rPr>
          <w:rFonts w:asciiTheme="minorHAnsi" w:hAnsiTheme="minorHAnsi" w:cs="Arial"/>
          <w:kern w:val="24"/>
          <w:szCs w:val="24"/>
          <w:lang w:val="es-ES" w:eastAsia="es-MX"/>
        </w:rPr>
        <w: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Pr="000D135A"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proofErr w:type="spellStart"/>
            <w:r w:rsidRPr="000D135A">
              <w:rPr>
                <w:rFonts w:asciiTheme="minorHAnsi" w:hAnsiTheme="minorHAnsi"/>
                <w:b/>
              </w:rPr>
              <w:t>Manifold</w:t>
            </w:r>
            <w:proofErr w:type="spellEnd"/>
            <w:r w:rsidRPr="000D135A">
              <w:rPr>
                <w:rFonts w:asciiTheme="minorHAnsi" w:hAnsiTheme="minorHAnsi"/>
                <w:b/>
              </w:rPr>
              <w:t xml:space="preserve">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 xml:space="preserve">Válvula </w:t>
            </w:r>
            <w:proofErr w:type="spellStart"/>
            <w:r w:rsidRPr="000D135A">
              <w:rPr>
                <w:rFonts w:asciiTheme="minorHAnsi" w:hAnsiTheme="minorHAnsi"/>
                <w:sz w:val="18"/>
              </w:rPr>
              <w:t>check</w:t>
            </w:r>
            <w:proofErr w:type="spellEnd"/>
            <w:r w:rsidRPr="000D135A">
              <w:rPr>
                <w:rFonts w:asciiTheme="minorHAnsi" w:hAnsiTheme="minorHAnsi"/>
                <w:sz w:val="18"/>
              </w:rPr>
              <w:t>.</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proofErr w:type="spellStart"/>
            <w:r w:rsidRPr="000D135A">
              <w:rPr>
                <w:rFonts w:asciiTheme="minorHAnsi" w:hAnsiTheme="minorHAnsi" w:cs="Arial"/>
                <w:b/>
                <w:bCs/>
                <w:szCs w:val="24"/>
                <w:lang w:val="es-ES"/>
              </w:rPr>
              <w:t>Manifold</w:t>
            </w:r>
            <w:proofErr w:type="spellEnd"/>
            <w:r w:rsidRPr="000D135A">
              <w:rPr>
                <w:rFonts w:asciiTheme="minorHAnsi" w:hAnsiTheme="minorHAnsi" w:cs="Arial"/>
                <w:b/>
                <w:bCs/>
                <w:szCs w:val="24"/>
                <w:lang w:val="es-ES"/>
              </w:rPr>
              <w:t xml:space="preserve">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del </w:t>
            </w:r>
            <w:proofErr w:type="spellStart"/>
            <w:r w:rsidRPr="000D135A">
              <w:rPr>
                <w:rFonts w:asciiTheme="minorHAnsi" w:hAnsiTheme="minorHAnsi" w:cs="Arial"/>
                <w:bCs/>
                <w:sz w:val="18"/>
                <w:szCs w:val="24"/>
                <w:lang w:val="es-ES"/>
              </w:rPr>
              <w:t>manifold</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w:t>
            </w:r>
            <w:proofErr w:type="spellStart"/>
            <w:r w:rsidRPr="000D135A">
              <w:rPr>
                <w:rFonts w:asciiTheme="minorHAnsi" w:hAnsiTheme="minorHAnsi" w:cs="Arial"/>
                <w:bCs/>
                <w:sz w:val="18"/>
                <w:szCs w:val="24"/>
                <w:lang w:val="es-ES"/>
              </w:rPr>
              <w:t>checks</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proofErr w:type="spellStart"/>
            <w:r w:rsidRPr="000D135A">
              <w:rPr>
                <w:rFonts w:asciiTheme="minorHAnsi" w:hAnsiTheme="minorHAnsi" w:cs="Arial"/>
                <w:bCs/>
                <w:sz w:val="18"/>
                <w:szCs w:val="24"/>
                <w:lang w:val="es-ES"/>
              </w:rPr>
              <w:t>Presostato</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 xml:space="preserve">En las unidades hospitalarias, el licitante que resulte adjudicado realizará la instalación de los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cuantos sean necesarios para atender la demanda de almacenamiento, atendiendo las características requeridas para el servicio, debiendo de entrar en operación dichos tanques en un máximo de 24 hrs. posteriores a la petición, debiendo de prever el abastecimiento de oxigeno que requiera la unidad durante el período de instalación, sin que esto genere costos adicionales a los Servicios de Salud.</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y entregarlos como máximo a las 24 hrs. de la recepción de los mismos, en caso de los cilindros portátiles propiedad de la convocante, el plazo máximo de entrega será 48 hrs., con la finalidad de que se le apliquen a los cilindros las pruebas establecidas en las normas de calidad  correspondientes, y en caso de que los cilindros no cumplan con estas pruebas deberán de ser devueltos sin llenar, para que se proceda a su baja inmediata.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y cilindros), deberá realizarse en un plazo no mayor a 24 hrs.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5D5F60" w:rsidRPr="00933613" w:rsidRDefault="005D5F60" w:rsidP="005D5F60">
      <w:pPr>
        <w:jc w:val="both"/>
        <w:rPr>
          <w:rFonts w:asciiTheme="minorHAnsi" w:hAnsiTheme="minorHAnsi"/>
          <w:b/>
          <w:lang w:val="es-ES"/>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851"/>
          <w:tab w:val="right" w:pos="1276"/>
        </w:tabs>
        <w:ind w:left="426" w:right="49"/>
        <w:jc w:val="both"/>
        <w:rPr>
          <w:rFonts w:asciiTheme="minorHAnsi" w:hAnsiTheme="minorHAnsi"/>
        </w:rPr>
      </w:pP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221835">
        <w:rPr>
          <w:rFonts w:asciiTheme="minorHAnsi" w:hAnsiTheme="minorHAnsi"/>
        </w:rPr>
        <w:t>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w:t>
      </w:r>
      <w:r w:rsidRPr="00E27A5A">
        <w:rPr>
          <w:rFonts w:asciiTheme="minorHAnsi" w:hAnsiTheme="minorHAnsi"/>
        </w:rPr>
        <w:lastRenderedPageBreak/>
        <w:t>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Copia de los registros sanitarios vigentes del Óxido Nitroso y del Oxígeno.</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“Buenas Prácticas para fabricar, envasar y distribuir gases medicinales”,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Original o copia certificada de los documentos, que acrediten que cumplen con las Norma</w:t>
      </w:r>
      <w:r>
        <w:rPr>
          <w:rFonts w:asciiTheme="minorHAnsi" w:hAnsiTheme="minorHAnsi" w:cs="Arial"/>
          <w:kern w:val="24"/>
          <w:szCs w:val="24"/>
          <w:lang w:eastAsia="es-MX"/>
        </w:rPr>
        <w:t>s que se señalan en el punto 1.1.13</w:t>
      </w:r>
      <w:r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Pr>
          <w:rFonts w:asciiTheme="minorHAnsi" w:hAnsiTheme="minorHAnsi" w:cs="Arial"/>
          <w:kern w:val="24"/>
          <w:szCs w:val="24"/>
          <w:lang w:eastAsia="es-MX"/>
        </w:rPr>
        <w:t>rmas señaladas en el numeral 1.1.13</w:t>
      </w:r>
      <w:r w:rsidRPr="00933613">
        <w:rPr>
          <w:rFonts w:asciiTheme="minorHAnsi" w:hAnsiTheme="minorHAnsi" w:cs="Arial"/>
          <w:kern w:val="24"/>
          <w:szCs w:val="24"/>
          <w:lang w:eastAsia="es-MX"/>
        </w:rPr>
        <w:t>.</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Documento en que el indique la ubicación de las dos plantas criogénicas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proofErr w:type="spellStart"/>
      <w:r w:rsidRPr="00933613">
        <w:rPr>
          <w:rFonts w:asciiTheme="minorHAnsi" w:hAnsiTheme="minorHAnsi" w:cs="Arial"/>
          <w:kern w:val="24"/>
          <w:szCs w:val="24"/>
          <w:lang w:val="es-ES" w:eastAsia="es-MX"/>
        </w:rPr>
        <w:t>rograma</w:t>
      </w:r>
      <w:proofErr w:type="spellEnd"/>
      <w:r w:rsidRPr="00933613">
        <w:rPr>
          <w:rFonts w:asciiTheme="minorHAnsi" w:hAnsiTheme="minorHAnsi" w:cs="Arial"/>
          <w:kern w:val="24"/>
          <w:szCs w:val="24"/>
          <w:lang w:val="es-ES" w:eastAsia="es-MX"/>
        </w:rPr>
        <w:t xml:space="preserve">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lastRenderedPageBreak/>
        <w:t xml:space="preserve">Cartas selladas y firmadas por 2 Administradores de las Unidades locales y 2 de las Unidades foráneas, a las que hace alusión el punto 1.2.1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 xml:space="preserve">iso, Centro de la Ciudad, </w:t>
      </w:r>
      <w:r w:rsidRPr="00E27A9B">
        <w:rPr>
          <w:rFonts w:ascii="Calibri" w:hAnsi="Calibri"/>
        </w:rPr>
        <w:lastRenderedPageBreak/>
        <w:t>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FA2D01" w:rsidRDefault="00FA2D01" w:rsidP="000B78E5">
      <w:pPr>
        <w:pStyle w:val="BodyText21"/>
        <w:ind w:right="-1"/>
        <w:rPr>
          <w:rFonts w:ascii="Calibri" w:hAnsi="Calibri"/>
          <w:b/>
          <w:sz w:val="20"/>
        </w:rPr>
      </w:pPr>
    </w:p>
    <w:p w:rsidR="00E37B1E" w:rsidRDefault="00E37B1E"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Default="000B78E5" w:rsidP="000B78E5">
      <w:pPr>
        <w:ind w:right="-1"/>
        <w:jc w:val="both"/>
        <w:rPr>
          <w:rFonts w:ascii="Calibri" w:hAnsi="Calibri"/>
        </w:rPr>
      </w:pPr>
    </w:p>
    <w:p w:rsidR="00E37B1E" w:rsidRDefault="00E37B1E" w:rsidP="000B78E5">
      <w:pPr>
        <w:ind w:right="-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w:t>
      </w:r>
      <w:r w:rsidRPr="00661318">
        <w:rPr>
          <w:rFonts w:ascii="Calibri" w:hAnsi="Calibri"/>
          <w:sz w:val="20"/>
        </w:rPr>
        <w:lastRenderedPageBreak/>
        <w:t>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90C8C">
        <w:rPr>
          <w:rFonts w:ascii="Calibri" w:hAnsi="Calibri"/>
        </w:rPr>
        <w:t>1</w:t>
      </w:r>
      <w:r w:rsidR="00AA1979">
        <w:rPr>
          <w:rFonts w:ascii="Calibri" w:hAnsi="Calibri"/>
        </w:rPr>
        <w:t>8</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AA1979">
        <w:rPr>
          <w:rFonts w:ascii="Calibri" w:hAnsi="Calibri"/>
        </w:rPr>
        <w:t>1</w:t>
      </w:r>
      <w:r w:rsidR="005352EF">
        <w:rPr>
          <w:rFonts w:ascii="Calibri" w:hAnsi="Calibri"/>
        </w:rPr>
        <w:t>2</w:t>
      </w:r>
      <w:r w:rsidR="00190C8C">
        <w:rPr>
          <w:rFonts w:ascii="Calibri" w:hAnsi="Calibri"/>
        </w:rPr>
        <w:t>:</w:t>
      </w:r>
      <w:r w:rsidR="00AA1979">
        <w:rPr>
          <w:rFonts w:ascii="Calibri" w:hAnsi="Calibri"/>
        </w:rPr>
        <w:t>0</w:t>
      </w:r>
      <w:r w:rsidRPr="00190C8C">
        <w:rPr>
          <w:rFonts w:ascii="Calibri" w:hAnsi="Calibri"/>
        </w:rPr>
        <w:t>0 horas,</w:t>
      </w:r>
      <w:r w:rsidRPr="00015CAF">
        <w:rPr>
          <w:rFonts w:ascii="Calibri" w:hAnsi="Calibri"/>
        </w:rPr>
        <w:t xml:space="preserve">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00572EFD">
        <w:rPr>
          <w:rFonts w:ascii="Calibri" w:hAnsi="Calibri"/>
          <w:b/>
        </w:rPr>
        <w:t>-A</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5352EF" w:rsidRDefault="005352EF" w:rsidP="000B78E5">
      <w:pPr>
        <w:ind w:right="-1"/>
        <w:jc w:val="both"/>
        <w:rPr>
          <w:rFonts w:ascii="Calibri" w:hAnsi="Calibri"/>
          <w:b/>
        </w:rPr>
      </w:pPr>
    </w:p>
    <w:p w:rsidR="005352EF" w:rsidRPr="0039320A" w:rsidRDefault="005352E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AA1979">
        <w:rPr>
          <w:rFonts w:ascii="Calibri" w:hAnsi="Calibri" w:cs="Arial"/>
        </w:rPr>
        <w:t>04</w:t>
      </w:r>
      <w:r w:rsidRPr="00190C8C">
        <w:rPr>
          <w:rFonts w:ascii="Calibri" w:hAnsi="Calibri" w:cs="Arial"/>
        </w:rPr>
        <w:t xml:space="preserve"> de </w:t>
      </w:r>
      <w:r w:rsidR="00AA1979">
        <w:rPr>
          <w:rFonts w:ascii="Calibri" w:hAnsi="Calibri" w:cs="Arial"/>
        </w:rPr>
        <w:t>Enero</w:t>
      </w:r>
      <w:r w:rsidRPr="00190C8C">
        <w:rPr>
          <w:rFonts w:ascii="Calibri" w:hAnsi="Calibri" w:cs="Arial"/>
        </w:rPr>
        <w:t xml:space="preserve"> del </w:t>
      </w:r>
      <w:r w:rsidR="00AA1979">
        <w:rPr>
          <w:rFonts w:ascii="Calibri" w:hAnsi="Calibri" w:cs="Arial"/>
        </w:rPr>
        <w:t>2016</w:t>
      </w:r>
      <w:r w:rsidRPr="00190C8C">
        <w:rPr>
          <w:rFonts w:ascii="Calibri" w:hAnsi="Calibri" w:cs="Arial"/>
        </w:rPr>
        <w:t xml:space="preserve"> a las </w:t>
      </w:r>
      <w:r w:rsidR="005352EF">
        <w:rPr>
          <w:rFonts w:ascii="Calibri" w:hAnsi="Calibri" w:cs="Arial"/>
        </w:rPr>
        <w:t>13</w:t>
      </w:r>
      <w:r w:rsidRPr="00190C8C">
        <w:rPr>
          <w:rFonts w:ascii="Calibri" w:hAnsi="Calibri" w:cs="Arial"/>
        </w:rPr>
        <w:t xml:space="preserve">:00 horas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A1979">
        <w:rPr>
          <w:rFonts w:ascii="Calibri" w:hAnsi="Calibri" w:cs="Arial"/>
        </w:rPr>
        <w:t>0</w:t>
      </w:r>
      <w:r w:rsidR="005352EF">
        <w:rPr>
          <w:rFonts w:ascii="Calibri" w:hAnsi="Calibri" w:cs="Arial"/>
        </w:rPr>
        <w:t>5</w:t>
      </w:r>
      <w:r w:rsidR="00FA4A0F" w:rsidRPr="00190C8C">
        <w:rPr>
          <w:rFonts w:ascii="Calibri" w:hAnsi="Calibri" w:cs="Arial"/>
        </w:rPr>
        <w:t xml:space="preserve"> de </w:t>
      </w:r>
      <w:r w:rsidR="00AA1979">
        <w:rPr>
          <w:rFonts w:ascii="Calibri" w:hAnsi="Calibri" w:cs="Arial"/>
        </w:rPr>
        <w:t>Enero</w:t>
      </w:r>
      <w:r w:rsidR="00FA4A0F" w:rsidRPr="00190C8C">
        <w:rPr>
          <w:rFonts w:ascii="Calibri" w:hAnsi="Calibri" w:cs="Arial"/>
        </w:rPr>
        <w:t xml:space="preserve"> del 201</w:t>
      </w:r>
      <w:r w:rsidR="00AA1979">
        <w:rPr>
          <w:rFonts w:ascii="Calibri" w:hAnsi="Calibri" w:cs="Arial"/>
        </w:rPr>
        <w:t>6</w:t>
      </w:r>
      <w:r w:rsidRPr="00190C8C">
        <w:rPr>
          <w:rFonts w:ascii="Calibri" w:hAnsi="Calibri" w:cs="Arial"/>
        </w:rPr>
        <w:t xml:space="preserve"> a las </w:t>
      </w:r>
      <w:r w:rsidR="005352EF">
        <w:rPr>
          <w:rFonts w:ascii="Calibri" w:hAnsi="Calibri" w:cs="Arial"/>
        </w:rPr>
        <w:t>12</w:t>
      </w:r>
      <w:r w:rsidRPr="00190C8C">
        <w:rPr>
          <w:rFonts w:ascii="Calibri" w:hAnsi="Calibri" w:cs="Arial"/>
        </w:rPr>
        <w:t>:</w:t>
      </w:r>
      <w:r w:rsidR="005352EF">
        <w:rPr>
          <w:rFonts w:ascii="Calibri" w:hAnsi="Calibri" w:cs="Arial"/>
        </w:rPr>
        <w:t>0</w:t>
      </w:r>
      <w:r w:rsidRPr="00190C8C">
        <w:rPr>
          <w:rFonts w:ascii="Calibri" w:hAnsi="Calibri" w:cs="Arial"/>
        </w:rPr>
        <w:t xml:space="preserve">0 horas </w:t>
      </w:r>
      <w:r w:rsidR="00190C8C" w:rsidRPr="00190C8C">
        <w:rPr>
          <w:rFonts w:ascii="Calibri" w:hAnsi="Calibri" w:cs="Arial"/>
        </w:rPr>
        <w:t xml:space="preserve">en la Sala de Juntas de la </w:t>
      </w:r>
      <w:r w:rsidR="00572EFD">
        <w:rPr>
          <w:rFonts w:ascii="Calibri" w:hAnsi="Calibri" w:cs="Arial"/>
        </w:rPr>
        <w:t>Subsecretaria</w:t>
      </w:r>
      <w:r w:rsidR="00190C8C" w:rsidRPr="00190C8C">
        <w:rPr>
          <w:rFonts w:ascii="Calibri" w:hAnsi="Calibri" w:cs="Arial"/>
        </w:rPr>
        <w:t xml:space="preserve"> </w:t>
      </w:r>
      <w:r w:rsidR="00572EFD">
        <w:rPr>
          <w:rFonts w:ascii="Calibri" w:hAnsi="Calibri" w:cs="Arial"/>
        </w:rPr>
        <w:t xml:space="preserve">de Prevención y Control de Enfermedades </w:t>
      </w:r>
      <w:r w:rsidR="00190C8C" w:rsidRPr="00190C8C">
        <w:rPr>
          <w:rFonts w:ascii="Calibri" w:hAnsi="Calibri" w:cs="Arial"/>
        </w:rPr>
        <w:t xml:space="preserve">de la Convocante, ubicada en Matamoros No. 520 oriente, </w:t>
      </w:r>
      <w:r w:rsidR="00572EFD">
        <w:rPr>
          <w:rFonts w:ascii="Calibri" w:hAnsi="Calibri" w:cs="Arial"/>
        </w:rPr>
        <w:t>tercer</w:t>
      </w:r>
      <w:r w:rsidR="00190C8C" w:rsidRPr="00190C8C">
        <w:rPr>
          <w:rFonts w:ascii="Calibri" w:hAnsi="Calibri" w:cs="Arial"/>
        </w:rPr>
        <w:t xml:space="preserve">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Default="000B78E5" w:rsidP="000B78E5">
      <w:pPr>
        <w:ind w:right="-1"/>
        <w:jc w:val="both"/>
        <w:rPr>
          <w:rFonts w:ascii="Calibri" w:hAnsi="Calibri" w:cs="Arial"/>
        </w:rPr>
      </w:pPr>
    </w:p>
    <w:p w:rsidR="00E37B1E" w:rsidRPr="00190C8C" w:rsidRDefault="00E37B1E"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0B78E5" w:rsidRDefault="000B78E5" w:rsidP="00E37B1E">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A1979">
        <w:rPr>
          <w:rFonts w:ascii="Calibri" w:hAnsi="Calibri" w:cs="Arial"/>
        </w:rPr>
        <w:t>06</w:t>
      </w:r>
      <w:r w:rsidR="00FA4A0F" w:rsidRPr="009E04A4">
        <w:rPr>
          <w:rFonts w:ascii="Calibri" w:hAnsi="Calibri" w:cs="Arial"/>
        </w:rPr>
        <w:t xml:space="preserve"> de </w:t>
      </w:r>
      <w:r w:rsidR="00AA1979">
        <w:rPr>
          <w:rFonts w:ascii="Calibri" w:hAnsi="Calibri" w:cs="Arial"/>
        </w:rPr>
        <w:t>Enero</w:t>
      </w:r>
      <w:r w:rsidR="00FA4A0F" w:rsidRPr="009E04A4">
        <w:rPr>
          <w:rFonts w:ascii="Calibri" w:hAnsi="Calibri" w:cs="Arial"/>
        </w:rPr>
        <w:t xml:space="preserve"> del 201</w:t>
      </w:r>
      <w:r w:rsidR="00AA1979">
        <w:rPr>
          <w:rFonts w:ascii="Calibri" w:hAnsi="Calibri" w:cs="Arial"/>
        </w:rPr>
        <w:t>6</w:t>
      </w:r>
      <w:r w:rsidR="00FA4A0F" w:rsidRPr="009E04A4">
        <w:rPr>
          <w:rFonts w:ascii="Calibri" w:hAnsi="Calibri" w:cs="Arial"/>
        </w:rPr>
        <w:t xml:space="preserve"> a </w:t>
      </w:r>
      <w:r w:rsidRPr="009E04A4">
        <w:rPr>
          <w:rFonts w:ascii="Calibri" w:hAnsi="Calibri" w:cs="Arial"/>
        </w:rPr>
        <w:t xml:space="preserve">las </w:t>
      </w:r>
      <w:r w:rsidR="005352EF">
        <w:rPr>
          <w:rFonts w:ascii="Calibri" w:hAnsi="Calibri" w:cs="Arial"/>
        </w:rPr>
        <w:t>14</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009E04A4" w:rsidRPr="0039320A">
        <w:rPr>
          <w:rFonts w:ascii="Calibri" w:hAnsi="Calibri"/>
        </w:rPr>
        <w:t>.</w:t>
      </w:r>
      <w:r w:rsidR="009E04A4" w:rsidRPr="0039320A">
        <w:rPr>
          <w:rFonts w:ascii="Calibri" w:hAnsi="Calibri" w:cs="Arial"/>
        </w:rPr>
        <w:t xml:space="preserve">, </w:t>
      </w:r>
      <w:r w:rsidR="009E04A4" w:rsidRPr="0039320A">
        <w:rPr>
          <w:rFonts w:ascii="Calibri" w:hAnsi="Calibri"/>
        </w:rPr>
        <w:t>conforme al punto 3.3 de estas bases.</w:t>
      </w:r>
    </w:p>
    <w:p w:rsidR="00E37B1E" w:rsidRDefault="00E37B1E" w:rsidP="00E37B1E">
      <w:pPr>
        <w:ind w:right="51"/>
        <w:jc w:val="both"/>
        <w:rPr>
          <w:rFonts w:ascii="Calibri" w:hAnsi="Calibri"/>
        </w:rPr>
      </w:pPr>
    </w:p>
    <w:p w:rsidR="00E37B1E" w:rsidRPr="00813E12" w:rsidRDefault="00E37B1E" w:rsidP="00E37B1E">
      <w:pPr>
        <w:ind w:right="5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AA2FC6" w:rsidRPr="00813E12" w:rsidRDefault="00AA2FC6"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A1979">
        <w:rPr>
          <w:rFonts w:ascii="Calibri" w:hAnsi="Calibri"/>
        </w:rPr>
        <w:t>06</w:t>
      </w:r>
      <w:r w:rsidR="00FA4A0F" w:rsidRPr="009E04A4">
        <w:rPr>
          <w:rFonts w:ascii="Calibri" w:hAnsi="Calibri"/>
        </w:rPr>
        <w:t xml:space="preserve"> de </w:t>
      </w:r>
      <w:r w:rsidR="00AA1979">
        <w:rPr>
          <w:rFonts w:ascii="Calibri" w:hAnsi="Calibri"/>
        </w:rPr>
        <w:t>Enero</w:t>
      </w:r>
      <w:r w:rsidR="00FA4A0F" w:rsidRPr="009E04A4">
        <w:rPr>
          <w:rFonts w:ascii="Calibri" w:hAnsi="Calibri"/>
        </w:rPr>
        <w:t xml:space="preserve"> del 201</w:t>
      </w:r>
      <w:r w:rsidR="00AA1979">
        <w:rPr>
          <w:rFonts w:ascii="Calibri" w:hAnsi="Calibri"/>
        </w:rPr>
        <w:t>6</w:t>
      </w:r>
      <w:r w:rsidR="00FA4A0F" w:rsidRPr="009E04A4">
        <w:rPr>
          <w:rFonts w:ascii="Calibri" w:hAnsi="Calibri"/>
        </w:rPr>
        <w:t xml:space="preserve"> </w:t>
      </w:r>
      <w:r w:rsidRPr="009E04A4">
        <w:rPr>
          <w:rFonts w:ascii="Calibri" w:hAnsi="Calibri"/>
        </w:rPr>
        <w:t xml:space="preserve">a las </w:t>
      </w:r>
      <w:r w:rsidR="00AA1979">
        <w:rPr>
          <w:rFonts w:ascii="Calibri" w:hAnsi="Calibri"/>
        </w:rPr>
        <w:t>1</w:t>
      </w:r>
      <w:r w:rsidR="005352EF">
        <w:rPr>
          <w:rFonts w:ascii="Calibri" w:hAnsi="Calibri"/>
        </w:rPr>
        <w:t>4</w:t>
      </w:r>
      <w:r w:rsidRPr="009E04A4">
        <w:rPr>
          <w:rFonts w:ascii="Calibri" w:hAnsi="Calibri"/>
        </w:rPr>
        <w:t>:</w:t>
      </w:r>
      <w:r w:rsidR="009E04A4" w:rsidRPr="009E04A4">
        <w:rPr>
          <w:rFonts w:ascii="Calibri" w:hAnsi="Calibri"/>
        </w:rPr>
        <w:t>3</w:t>
      </w:r>
      <w:r w:rsidRPr="009E04A4">
        <w:rPr>
          <w:rFonts w:ascii="Calibri" w:hAnsi="Calibri"/>
        </w:rPr>
        <w:t xml:space="preserve">0 horas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lastRenderedPageBreak/>
        <w:t>18.4.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w:t>
      </w:r>
      <w:r w:rsidR="00AA1979">
        <w:rPr>
          <w:rFonts w:ascii="Calibri" w:hAnsi="Calibri"/>
          <w:sz w:val="20"/>
        </w:rPr>
        <w:t>7</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la Convocante por la falta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41E82">
        <w:rPr>
          <w:rFonts w:asciiTheme="minorHAnsi" w:hAnsiTheme="minorHAnsi"/>
          <w:b/>
        </w:rPr>
        <w:t>14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AC310A" w:rsidRDefault="00BE34A4" w:rsidP="00BE34A4">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Especificaciones Técnicas</w:t>
            </w:r>
          </w:p>
        </w:tc>
      </w:tr>
      <w:tr w:rsidR="00BE34A4"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E37B1E" w:rsidP="008B470B">
            <w:pPr>
              <w:jc w:val="center"/>
              <w:rPr>
                <w:rFonts w:asciiTheme="minorHAnsi" w:hAnsiTheme="minorHAnsi" w:cs="Arial"/>
                <w:color w:val="000000"/>
                <w:sz w:val="18"/>
                <w:szCs w:val="14"/>
              </w:rPr>
            </w:pPr>
            <w:r>
              <w:rPr>
                <w:rFonts w:asciiTheme="minorHAnsi" w:hAnsiTheme="minorHAnsi" w:cs="Arial"/>
                <w:color w:val="000000"/>
                <w:sz w:val="18"/>
                <w:szCs w:val="14"/>
              </w:rPr>
              <w:t>SUMINISTRO DE GASES MEDICINALES PARA DIFERENTES UNIDADES</w:t>
            </w:r>
            <w:r w:rsidR="008B470B">
              <w:rPr>
                <w:rFonts w:asciiTheme="minorHAnsi" w:hAnsiTheme="minorHAnsi" w:cs="Arial"/>
                <w:color w:val="000000"/>
                <w:sz w:val="18"/>
                <w:szCs w:val="1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sz w:val="18"/>
                <w:szCs w:val="14"/>
              </w:rPr>
            </w:pPr>
            <w:r w:rsidRPr="008B470B">
              <w:rPr>
                <w:rFonts w:asciiTheme="minorHAnsi" w:hAnsiTheme="minorHAnsi" w:cs="Arial"/>
                <w:sz w:val="18"/>
                <w:szCs w:val="14"/>
              </w:rPr>
              <w:t>Paquete</w:t>
            </w:r>
          </w:p>
        </w:tc>
        <w:tc>
          <w:tcPr>
            <w:tcW w:w="5812" w:type="dxa"/>
            <w:tcBorders>
              <w:top w:val="single" w:sz="4" w:space="0" w:color="000000"/>
              <w:left w:val="single" w:sz="4" w:space="0" w:color="000000"/>
              <w:bottom w:val="single" w:sz="4" w:space="0" w:color="000000"/>
              <w:right w:val="single" w:sz="4" w:space="0" w:color="000000"/>
            </w:tcBorders>
          </w:tcPr>
          <w:p w:rsidR="00104D64" w:rsidRDefault="00104D64" w:rsidP="00DF5AB9">
            <w:pPr>
              <w:jc w:val="both"/>
              <w:rPr>
                <w:rFonts w:asciiTheme="minorHAnsi" w:hAnsiTheme="minorHAnsi"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929"/>
              <w:gridCol w:w="1052"/>
            </w:tblGrid>
            <w:tr w:rsidR="00104D64" w:rsidRPr="00104D64" w:rsidTr="00E00893">
              <w:trPr>
                <w:trHeight w:val="210"/>
              </w:trPr>
              <w:tc>
                <w:tcPr>
                  <w:tcW w:w="3251" w:type="pct"/>
                  <w:shd w:val="clear" w:color="auto" w:fill="00FFFF"/>
                  <w:noWrap/>
                  <w:vAlign w:val="center"/>
                  <w:hideMark/>
                </w:tcPr>
                <w:p w:rsidR="00104D64" w:rsidRPr="00104D64" w:rsidRDefault="00104D64" w:rsidP="00104D64">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UNIDAD Y DESCRIPCIÓN</w:t>
                  </w:r>
                </w:p>
              </w:tc>
              <w:tc>
                <w:tcPr>
                  <w:tcW w:w="820" w:type="pct"/>
                  <w:shd w:val="clear" w:color="auto" w:fill="00FFFF"/>
                  <w:vAlign w:val="center"/>
                  <w:hideMark/>
                </w:tcPr>
                <w:p w:rsidR="00104D64" w:rsidRPr="00104D64" w:rsidRDefault="00104D64" w:rsidP="00104D64">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UNIDAD DE MEDIDA</w:t>
                  </w:r>
                </w:p>
              </w:tc>
              <w:tc>
                <w:tcPr>
                  <w:tcW w:w="929" w:type="pct"/>
                  <w:shd w:val="clear" w:color="auto" w:fill="00FFFF"/>
                  <w:noWrap/>
                  <w:vAlign w:val="center"/>
                  <w:hideMark/>
                </w:tcPr>
                <w:p w:rsidR="00104D64" w:rsidRPr="00104D64" w:rsidRDefault="00104D64" w:rsidP="00104D64">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CANTIDAD</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CERRALVO</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133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154</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12,198</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DR. ARROYO  </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255</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w:t>
                  </w:r>
                  <w:bookmarkStart w:id="0" w:name="_GoBack"/>
                  <w:bookmarkEnd w:id="0"/>
                  <w:r w:rsidRPr="00104D64">
                    <w:rPr>
                      <w:rFonts w:ascii="Calibri" w:hAnsi="Calibri"/>
                      <w:color w:val="000000"/>
                      <w:sz w:val="12"/>
                      <w:szCs w:val="12"/>
                      <w:lang w:val="es-MX" w:eastAsia="es-MX"/>
                    </w:rPr>
                    <w:t xml:space="preserve">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39</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2,033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14,766</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GALEANA</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24</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4,430</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4,282</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LINARES</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59</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1,583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3,088</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MONTEMORELOS</w:t>
                  </w:r>
                  <w:r w:rsidR="009A4F2F">
                    <w:rPr>
                      <w:rFonts w:ascii="Calibri" w:hAnsi="Calibri"/>
                      <w:b/>
                      <w:bCs/>
                      <w:color w:val="000000"/>
                      <w:sz w:val="12"/>
                      <w:szCs w:val="12"/>
                      <w:lang w:val="es-MX" w:eastAsia="es-MX"/>
                    </w:rPr>
                    <w:t xml:space="preserve"> </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87</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207</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101</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18,476</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59</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SABINAS HIDALGO</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 OXIGENO USP LIQ.BULK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14,582</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75</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262</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"Q"</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21</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78</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METROPOLITANO “DR. BERNARDO SEPÚLVEDA”</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GHIP OXIDO NÍTRICO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NITROGENO N.F.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370</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1,417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1,239</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383,048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770</w:t>
                  </w:r>
                </w:p>
              </w:tc>
            </w:tr>
            <w:tr w:rsidR="00104D64" w:rsidRPr="00104D64" w:rsidTr="009A4F2F">
              <w:trPr>
                <w:trHeight w:val="70"/>
              </w:trPr>
              <w:tc>
                <w:tcPr>
                  <w:tcW w:w="5000" w:type="pct"/>
                  <w:gridSpan w:val="3"/>
                  <w:shd w:val="clear" w:color="auto" w:fill="CCCCFF"/>
                  <w:noWrap/>
                  <w:vAlign w:val="center"/>
                  <w:hideMark/>
                </w:tcPr>
                <w:p w:rsidR="00104D64" w:rsidRPr="00104D64" w:rsidRDefault="00104D64"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REGIONAL DE ALTA ESPECIALIDAD MATERNO INFANTIL</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GHIP OXIDO NÍTRICO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150,247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OXYFUME 20. 20%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482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404</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Pr>
                      <w:rFonts w:ascii="Calibri" w:hAnsi="Calibri"/>
                      <w:b/>
                      <w:bCs/>
                      <w:color w:val="000000"/>
                      <w:sz w:val="12"/>
                      <w:szCs w:val="12"/>
                      <w:lang w:val="es-MX" w:eastAsia="es-MX"/>
                    </w:rPr>
                    <w:t>JURISDICCION SANITARIA No. 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19</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67</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JURISDICCION SANITARIA No. 5</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232</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lastRenderedPageBreak/>
                    <w:t>LABORATORIO ESTATAL</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ACETILENO ULTRAPURO PARA ABSORCION ATOMICA</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ARGON ULTRA PURO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GAS CARBON INDUSTRIAL 25 GRADO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9</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HELIO 5.0 ULTRA ALTA</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NITROGENO ULTRA PURO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22</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UNEME PEDIATRI</w:t>
                  </w:r>
                  <w:r w:rsidRPr="009A4F2F">
                    <w:rPr>
                      <w:rFonts w:ascii="Calibri" w:hAnsi="Calibri"/>
                      <w:b/>
                      <w:bCs/>
                      <w:color w:val="000000"/>
                      <w:sz w:val="12"/>
                      <w:szCs w:val="12"/>
                      <w:shd w:val="clear" w:color="auto" w:fill="CCCCFF"/>
                      <w:lang w:val="es-MX" w:eastAsia="es-MX"/>
                    </w:rPr>
                    <w:t>CA</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1,477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664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94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TIERRA Y LIBERTAD</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 OXIGENO USP LIQ.BULK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14,582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262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"Q"</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78</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UNEME SHOCK TRAUMA</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 OXIGENO USP LIQ.BULK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14,582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664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262</w:t>
                  </w:r>
                </w:p>
              </w:tc>
            </w:tr>
            <w:tr w:rsidR="00104D64" w:rsidRPr="00104D64" w:rsidTr="00104D64">
              <w:trPr>
                <w:trHeight w:val="21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"Q"</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107</w:t>
                  </w:r>
                </w:p>
              </w:tc>
            </w:tr>
          </w:tbl>
          <w:p w:rsidR="00104D64" w:rsidRPr="00AC310A" w:rsidRDefault="00104D64" w:rsidP="00DF5AB9">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04D64" w:rsidRDefault="00104D64" w:rsidP="008B470B">
      <w:pPr>
        <w:tabs>
          <w:tab w:val="left" w:pos="2760"/>
        </w:tabs>
        <w:rPr>
          <w:rFonts w:asciiTheme="minorHAnsi" w:hAnsiTheme="minorHAnsi" w:cs="Arial"/>
          <w:sz w:val="18"/>
          <w:szCs w:val="18"/>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CC13EB">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11</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11</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Ind w:w="-72" w:type="dxa"/>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11</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11</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10</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9A4F2F">
        <w:rPr>
          <w:rFonts w:ascii="Calibri" w:hAnsi="Calibri"/>
          <w:b/>
          <w:bCs/>
          <w:sz w:val="20"/>
          <w:szCs w:val="20"/>
        </w:rPr>
        <w:t>1</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Copia de los registros sanitarios vigentes del Óxido Nitroso y del Oxígeno.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“Buenas Prácticas para fabricar, envasar y distribuir gases medicinales”,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Original o copia certificada de los documentos, que acrediten que cumplen con las Normas que se señalan en el punto 1.1.13 de las presentes bases, para las Normas; así como informes de ensayos emitidos por un tercero que comprueben el cumplimiento de todas las normas señaladas en el numeral 1.1.13.</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proofErr w:type="spellStart"/>
            <w:r w:rsidRPr="005352EF">
              <w:rPr>
                <w:rFonts w:asciiTheme="minorHAnsi" w:hAnsiTheme="minorHAnsi" w:cs="Arial"/>
                <w:kern w:val="24"/>
                <w:sz w:val="14"/>
                <w:szCs w:val="14"/>
                <w:lang w:val="es-ES" w:eastAsia="es-MX"/>
              </w:rPr>
              <w:t>rograma</w:t>
            </w:r>
            <w:proofErr w:type="spellEnd"/>
            <w:r w:rsidRPr="005352EF">
              <w:rPr>
                <w:rFonts w:asciiTheme="minorHAnsi" w:hAnsiTheme="minorHAnsi" w:cs="Arial"/>
                <w:kern w:val="24"/>
                <w:sz w:val="14"/>
                <w:szCs w:val="14"/>
                <w:lang w:val="es-ES" w:eastAsia="es-MX"/>
              </w:rPr>
              <w:t xml:space="preserve">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Cartas selladas y firmadas por 2 Administradores de las Unidades locales y 2 de las Unidades foráneas, a las que hace alusión el punto 1.2.1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 xml:space="preserve">Cd o USB que contenga el total de los documentos incluidos en el sobre técnico en formato </w:t>
            </w:r>
            <w:proofErr w:type="spellStart"/>
            <w:r w:rsidRPr="005352EF">
              <w:rPr>
                <w:rFonts w:asciiTheme="minorHAnsi" w:hAnsiTheme="minorHAnsi"/>
                <w:bCs/>
                <w:sz w:val="14"/>
                <w:szCs w:val="14"/>
              </w:rPr>
              <w:t>pdf</w:t>
            </w:r>
            <w:proofErr w:type="spellEnd"/>
            <w:r w:rsidRPr="005352EF">
              <w:rPr>
                <w:rFonts w:asciiTheme="minorHAnsi" w:hAnsiTheme="minorHAnsi"/>
                <w:bCs/>
                <w:sz w:val="14"/>
                <w:szCs w:val="14"/>
              </w:rPr>
              <w:t xml:space="preserve">, </w:t>
            </w:r>
            <w:proofErr w:type="spellStart"/>
            <w:r w:rsidRPr="005352EF">
              <w:rPr>
                <w:rFonts w:asciiTheme="minorHAnsi" w:hAnsiTheme="minorHAnsi"/>
                <w:bCs/>
                <w:sz w:val="14"/>
                <w:szCs w:val="14"/>
              </w:rPr>
              <w:t>word</w:t>
            </w:r>
            <w:proofErr w:type="spellEnd"/>
            <w:r w:rsidRPr="005352EF">
              <w:rPr>
                <w:rFonts w:asciiTheme="minorHAnsi" w:hAnsiTheme="minorHAnsi"/>
                <w:bCs/>
                <w:sz w:val="14"/>
                <w:szCs w:val="14"/>
              </w:rPr>
              <w:t xml:space="preserve"> o </w:t>
            </w:r>
            <w:proofErr w:type="spellStart"/>
            <w:r w:rsidRPr="005352EF">
              <w:rPr>
                <w:rFonts w:asciiTheme="minorHAnsi" w:hAnsiTheme="minorHAnsi"/>
                <w:bCs/>
                <w:sz w:val="14"/>
                <w:szCs w:val="14"/>
              </w:rPr>
              <w:t>excel</w:t>
            </w:r>
            <w:proofErr w:type="spellEnd"/>
            <w:r w:rsidRPr="005352EF">
              <w:rPr>
                <w:rFonts w:asciiTheme="minorHAnsi" w:hAnsiTheme="minorHAnsi"/>
                <w:bCs/>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Pr="005352EF">
              <w:rPr>
                <w:rFonts w:asciiTheme="minorHAnsi" w:hAnsiTheme="minorHAnsi" w:cstheme="minorHAnsi"/>
                <w:sz w:val="14"/>
                <w:szCs w:val="14"/>
              </w:rPr>
              <w:t xml:space="preserve"> de la Ley, </w:t>
            </w:r>
            <w:r w:rsidRPr="005352EF">
              <w:rPr>
                <w:rFonts w:asciiTheme="minorHAnsi" w:hAnsiTheme="minorHAnsi" w:cs="Arial"/>
                <w:i/>
                <w:sz w:val="14"/>
                <w:szCs w:val="14"/>
              </w:rPr>
              <w:t>Artículo 50</w:t>
            </w:r>
            <w:r w:rsidRPr="005352EF">
              <w:rPr>
                <w:rFonts w:asciiTheme="minorHAnsi" w:hAnsiTheme="minorHAnsi" w:cs="Arial"/>
                <w:sz w:val="14"/>
                <w:szCs w:val="14"/>
              </w:rPr>
              <w:t xml:space="preserve"> </w:t>
            </w:r>
            <w:proofErr w:type="spellStart"/>
            <w:r w:rsidRPr="005352EF">
              <w:rPr>
                <w:rFonts w:asciiTheme="minorHAnsi" w:hAnsiTheme="minorHAnsi" w:cs="Arial"/>
                <w:sz w:val="14"/>
                <w:szCs w:val="14"/>
              </w:rPr>
              <w:t>Fracc</w:t>
            </w:r>
            <w:proofErr w:type="spellEnd"/>
            <w:r w:rsidRPr="005352EF">
              <w:rPr>
                <w:rFonts w:asciiTheme="minorHAnsi" w:hAnsiTheme="minorHAnsi" w:cs="Arial"/>
                <w:sz w:val="14"/>
                <w:szCs w:val="14"/>
              </w:rPr>
              <w:t xml:space="preserve">. XXIII de La Ley de responsabilidades de los Servidores Públicos del Estado y Municipios de Nuevo León 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w:t>
            </w:r>
            <w:r w:rsidRPr="005352EF">
              <w:rPr>
                <w:rFonts w:asciiTheme="minorHAnsi" w:hAnsiTheme="minorHAnsi"/>
                <w:sz w:val="14"/>
                <w:szCs w:val="14"/>
              </w:rPr>
              <w:lastRenderedPageBreak/>
              <w:t>que los vales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5352EF">
              <w:rPr>
                <w:rFonts w:asciiTheme="minorHAnsi" w:hAnsiTheme="minorHAnsi" w:cs="Arial"/>
                <w:i/>
                <w:sz w:val="14"/>
                <w:szCs w:val="14"/>
              </w:rPr>
              <w:t>Artículo 33 Bis</w:t>
            </w:r>
            <w:r w:rsidRPr="005352EF">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352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9A4F2F">
        <w:rPr>
          <w:rFonts w:asciiTheme="minorHAnsi" w:hAnsiTheme="minorHAnsi"/>
          <w:color w:val="auto"/>
          <w:sz w:val="18"/>
          <w:szCs w:val="16"/>
        </w:rPr>
        <w:t>1</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9A4F2F">
        <w:rPr>
          <w:rFonts w:asciiTheme="minorHAnsi" w:hAnsiTheme="minorHAnsi"/>
          <w:color w:val="auto"/>
          <w:sz w:val="18"/>
          <w:szCs w:val="16"/>
        </w:rPr>
        <w:t>11</w:t>
      </w:r>
      <w:r w:rsidRPr="009A4F2F">
        <w:rPr>
          <w:rFonts w:asciiTheme="minorHAnsi" w:hAnsiTheme="minorHAnsi"/>
          <w:color w:val="auto"/>
          <w:sz w:val="18"/>
          <w:szCs w:val="16"/>
        </w:rPr>
        <w:t xml:space="preserve">-2015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-919044992-N</w:t>
      </w:r>
      <w:r>
        <w:rPr>
          <w:rFonts w:ascii="Calibri" w:hAnsi="Calibri"/>
          <w:sz w:val="17"/>
          <w:szCs w:val="17"/>
        </w:rPr>
        <w:t>10</w:t>
      </w:r>
      <w:r w:rsidRPr="000A4F8C">
        <w:rPr>
          <w:rFonts w:ascii="Calibri" w:hAnsi="Calibri"/>
          <w:sz w:val="17"/>
          <w:szCs w:val="17"/>
        </w:rPr>
        <w:t>-201</w:t>
      </w:r>
      <w:r>
        <w:rPr>
          <w:rFonts w:ascii="Calibri" w:hAnsi="Calibri"/>
          <w:sz w:val="17"/>
          <w:szCs w:val="17"/>
        </w:rPr>
        <w:t>5</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Manifestando bajo protesta de decir verdad que su cargo y facultades conferidas no le han sido </w:t>
      </w:r>
      <w:proofErr w:type="gramStart"/>
      <w:r w:rsidRPr="000A4F8C">
        <w:rPr>
          <w:rFonts w:ascii="Calibri" w:hAnsi="Calibri"/>
          <w:sz w:val="17"/>
          <w:szCs w:val="17"/>
        </w:rPr>
        <w:t>revocadas</w:t>
      </w:r>
      <w:proofErr w:type="gramEnd"/>
      <w:r w:rsidRPr="000A4F8C">
        <w:rPr>
          <w:rFonts w:ascii="Calibri" w:hAnsi="Calibri"/>
          <w:sz w:val="17"/>
          <w:szCs w:val="17"/>
        </w:rPr>
        <w:t xml:space="preserve">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Pr>
          <w:rFonts w:asciiTheme="minorHAnsi" w:hAnsiTheme="minorHAnsi"/>
          <w:b/>
          <w:sz w:val="17"/>
          <w:szCs w:val="17"/>
          <w:lang w:val="es-MX"/>
        </w:rPr>
        <w:t>N11</w:t>
      </w:r>
      <w:r w:rsidRPr="009A4F2F">
        <w:rPr>
          <w:rFonts w:asciiTheme="minorHAnsi" w:hAnsiTheme="minorHAnsi" w:cs="Tahoma"/>
          <w:sz w:val="17"/>
          <w:szCs w:val="17"/>
        </w:rPr>
        <w:t>-201</w:t>
      </w:r>
      <w:r>
        <w:rPr>
          <w:rFonts w:asciiTheme="minorHAnsi" w:hAnsiTheme="minorHAnsi" w:cs="Tahoma"/>
          <w:sz w:val="17"/>
          <w:szCs w:val="17"/>
        </w:rPr>
        <w:t>5</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 xml:space="preserve">se deslinda del pago de las facturas que no sean presentadas para su pago antes de 90 días posteriores a la fecha de recibo en la Unidad a la que va </w:t>
      </w:r>
      <w:proofErr w:type="gramStart"/>
      <w:r w:rsidRPr="009A4F2F">
        <w:rPr>
          <w:rFonts w:asciiTheme="minorHAnsi" w:hAnsiTheme="minorHAnsi" w:cs="Tahoma"/>
          <w:bCs/>
          <w:sz w:val="17"/>
          <w:szCs w:val="17"/>
        </w:rPr>
        <w:t>destinado</w:t>
      </w:r>
      <w:proofErr w:type="gramEnd"/>
      <w:r w:rsidRPr="009A4F2F">
        <w:rPr>
          <w:rFonts w:asciiTheme="minorHAnsi" w:hAnsiTheme="minorHAnsi" w:cs="Tahoma"/>
          <w:bCs/>
          <w:sz w:val="17"/>
          <w:szCs w:val="17"/>
        </w:rPr>
        <w:t xml:space="preserve">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sz w:val="17"/>
          <w:szCs w:val="17"/>
        </w:rPr>
        <w:t xml:space="preserve">En relación a la publicación en el Diario Oficial de la Federación del día miércoles 28 de Febrero del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9A4F2F" w:rsidRPr="009A4F2F" w:rsidRDefault="009A4F2F" w:rsidP="009A4F2F">
      <w:pPr>
        <w:ind w:right="-5"/>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sz w:val="17"/>
          <w:szCs w:val="17"/>
        </w:rPr>
        <w:t xml:space="preserve">Por lo anterior expuesto se informa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que deberá dirigirse a la Subdirección de Recursos Financieros, para los trámites de adhesión al programa de Cadenas Productivas; asimismo deberá de tomar en cuenta estas disposiciones.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Horario de atención de Lunes a Domingo de las 6:00 Hrs a las 00:00 Hrs.</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lastRenderedPageBreak/>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aplicará una pena convencional del 1%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lastRenderedPageBreak/>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aún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w:t>
      </w:r>
      <w:r w:rsidRPr="009A4F2F">
        <w:rPr>
          <w:rFonts w:asciiTheme="minorHAnsi" w:hAnsiTheme="minorHAnsi" w:cs="Tahoma"/>
          <w:b/>
          <w:sz w:val="17"/>
          <w:szCs w:val="17"/>
        </w:rPr>
        <w:lastRenderedPageBreak/>
        <w:t>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LIC. JOSE DE JESÚS GARZA ESCAMILLA</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13" w:rsidRDefault="00466913" w:rsidP="007F0B73">
      <w:r>
        <w:separator/>
      </w:r>
    </w:p>
  </w:endnote>
  <w:endnote w:type="continuationSeparator" w:id="0">
    <w:p w:rsidR="00466913" w:rsidRDefault="0046691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221835" w:rsidRPr="00CE2E1F" w:rsidRDefault="00221835" w:rsidP="004C675C">
        <w:pPr>
          <w:pStyle w:val="Piedepgina"/>
          <w:jc w:val="center"/>
          <w:rPr>
            <w:b/>
            <w:color w:val="009999"/>
          </w:rPr>
        </w:pPr>
        <w:r>
          <w:rPr>
            <w:color w:val="009999"/>
          </w:rPr>
          <w:t>_____________________________________________________________________________________________________</w:t>
        </w:r>
      </w:p>
      <w:p w:rsidR="00221835" w:rsidRDefault="00221835" w:rsidP="004C675C">
        <w:pPr>
          <w:pStyle w:val="Piedepgina"/>
          <w:ind w:right="-232" w:hanging="284"/>
          <w:jc w:val="center"/>
          <w:rPr>
            <w:rFonts w:ascii="Century Gothic" w:hAnsi="Century Gothic"/>
            <w:b/>
            <w:color w:val="009999"/>
            <w:sz w:val="18"/>
            <w:szCs w:val="14"/>
          </w:rPr>
        </w:pPr>
      </w:p>
      <w:p w:rsidR="00221835" w:rsidRPr="00CE2E1F" w:rsidRDefault="0022183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21835" w:rsidRPr="00CE2E1F" w:rsidRDefault="0022183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11</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00C77E3E"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00C77E3E" w:rsidRPr="00CE2E1F">
                  <w:rPr>
                    <w:rFonts w:ascii="Century Gothic" w:hAnsi="Century Gothic"/>
                    <w:b/>
                    <w:color w:val="009999"/>
                    <w:sz w:val="18"/>
                    <w:szCs w:val="16"/>
                  </w:rPr>
                  <w:fldChar w:fldCharType="separate"/>
                </w:r>
                <w:r w:rsidR="00366E7B">
                  <w:rPr>
                    <w:rFonts w:ascii="Century Gothic" w:hAnsi="Century Gothic"/>
                    <w:b/>
                    <w:noProof/>
                    <w:color w:val="009999"/>
                    <w:sz w:val="18"/>
                    <w:szCs w:val="16"/>
                  </w:rPr>
                  <w:t>25</w:t>
                </w:r>
                <w:r w:rsidR="00C77E3E"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00C77E3E"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00C77E3E" w:rsidRPr="00CE2E1F">
                  <w:rPr>
                    <w:rFonts w:ascii="Century Gothic" w:hAnsi="Century Gothic"/>
                    <w:b/>
                    <w:color w:val="009999"/>
                    <w:sz w:val="18"/>
                    <w:szCs w:val="16"/>
                  </w:rPr>
                  <w:fldChar w:fldCharType="separate"/>
                </w:r>
                <w:r w:rsidR="00366E7B">
                  <w:rPr>
                    <w:rFonts w:ascii="Century Gothic" w:hAnsi="Century Gothic"/>
                    <w:b/>
                    <w:noProof/>
                    <w:color w:val="009999"/>
                    <w:sz w:val="18"/>
                    <w:szCs w:val="16"/>
                  </w:rPr>
                  <w:t>45</w:t>
                </w:r>
                <w:r w:rsidR="00C77E3E" w:rsidRPr="00CE2E1F">
                  <w:rPr>
                    <w:rFonts w:ascii="Century Gothic" w:hAnsi="Century Gothic"/>
                    <w:b/>
                    <w:color w:val="009999"/>
                    <w:sz w:val="18"/>
                    <w:szCs w:val="16"/>
                  </w:rPr>
                  <w:fldChar w:fldCharType="end"/>
                </w:r>
              </w:sdtContent>
            </w:sdt>
          </w:sdtContent>
        </w:sdt>
      </w:p>
      <w:p w:rsidR="00221835" w:rsidRPr="00CE2E1F" w:rsidRDefault="00466913" w:rsidP="004C675C">
        <w:pPr>
          <w:pStyle w:val="Piedepgina"/>
          <w:jc w:val="center"/>
          <w:rPr>
            <w:b/>
            <w:color w:val="009999"/>
          </w:rPr>
        </w:pPr>
      </w:p>
    </w:sdtContent>
  </w:sdt>
  <w:p w:rsidR="00221835" w:rsidRPr="004C675C" w:rsidRDefault="00221835" w:rsidP="004C675C">
    <w:pPr>
      <w:pStyle w:val="Piedepgina"/>
    </w:pPr>
  </w:p>
  <w:p w:rsidR="00221835" w:rsidRDefault="00221835"/>
  <w:p w:rsidR="00221835" w:rsidRDefault="00221835"/>
  <w:p w:rsidR="00221835" w:rsidRDefault="00221835"/>
  <w:p w:rsidR="00221835" w:rsidRDefault="00221835"/>
  <w:p w:rsidR="00221835" w:rsidRDefault="002218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13" w:rsidRDefault="00466913" w:rsidP="007F0B73">
      <w:r>
        <w:separator/>
      </w:r>
    </w:p>
  </w:footnote>
  <w:footnote w:type="continuationSeparator" w:id="0">
    <w:p w:rsidR="00466913" w:rsidRDefault="0046691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35" w:rsidRPr="00C765F1" w:rsidRDefault="0022183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21835" w:rsidRPr="00C765F1" w:rsidRDefault="00221835" w:rsidP="00313C66">
    <w:pPr>
      <w:jc w:val="center"/>
      <w:rPr>
        <w:rFonts w:ascii="Corbel" w:hAnsi="Corbel"/>
        <w:b/>
        <w:szCs w:val="16"/>
      </w:rPr>
    </w:pPr>
    <w:r w:rsidRPr="00C765F1">
      <w:rPr>
        <w:rFonts w:ascii="Corbel" w:hAnsi="Corbel"/>
        <w:b/>
        <w:szCs w:val="16"/>
      </w:rPr>
      <w:t>SERVICIOS DE SALUD DE NUEVO LEÓN</w:t>
    </w:r>
  </w:p>
  <w:p w:rsidR="00221835" w:rsidRPr="00180FA7" w:rsidRDefault="0022183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21835" w:rsidRDefault="00221835"/>
  <w:p w:rsidR="00221835" w:rsidRDefault="00221835"/>
  <w:p w:rsidR="00221835" w:rsidRDefault="00221835"/>
  <w:p w:rsidR="00221835" w:rsidRDefault="00221835"/>
  <w:p w:rsidR="00221835" w:rsidRDefault="002218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3">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2">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23"/>
  </w:num>
  <w:num w:numId="4">
    <w:abstractNumId w:val="35"/>
  </w:num>
  <w:num w:numId="5">
    <w:abstractNumId w:val="6"/>
  </w:num>
  <w:num w:numId="6">
    <w:abstractNumId w:val="0"/>
  </w:num>
  <w:num w:numId="7">
    <w:abstractNumId w:val="16"/>
  </w:num>
  <w:num w:numId="8">
    <w:abstractNumId w:val="14"/>
  </w:num>
  <w:num w:numId="9">
    <w:abstractNumId w:val="31"/>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8"/>
  </w:num>
  <w:num w:numId="17">
    <w:abstractNumId w:val="26"/>
  </w:num>
  <w:num w:numId="18">
    <w:abstractNumId w:val="25"/>
  </w:num>
  <w:num w:numId="19">
    <w:abstractNumId w:val="24"/>
  </w:num>
  <w:num w:numId="20">
    <w:abstractNumId w:val="40"/>
  </w:num>
  <w:num w:numId="21">
    <w:abstractNumId w:val="10"/>
  </w:num>
  <w:num w:numId="22">
    <w:abstractNumId w:val="27"/>
  </w:num>
  <w:num w:numId="23">
    <w:abstractNumId w:val="41"/>
  </w:num>
  <w:num w:numId="24">
    <w:abstractNumId w:val="36"/>
  </w:num>
  <w:num w:numId="25">
    <w:abstractNumId w:val="21"/>
  </w:num>
  <w:num w:numId="26">
    <w:abstractNumId w:val="8"/>
  </w:num>
  <w:num w:numId="27">
    <w:abstractNumId w:val="29"/>
  </w:num>
  <w:num w:numId="28">
    <w:abstractNumId w:val="20"/>
  </w:num>
  <w:num w:numId="29">
    <w:abstractNumId w:val="42"/>
  </w:num>
  <w:num w:numId="30">
    <w:abstractNumId w:val="7"/>
  </w:num>
  <w:num w:numId="31">
    <w:abstractNumId w:val="34"/>
  </w:num>
  <w:num w:numId="32">
    <w:abstractNumId w:val="37"/>
  </w:num>
  <w:num w:numId="33">
    <w:abstractNumId w:val="38"/>
  </w:num>
  <w:num w:numId="34">
    <w:abstractNumId w:val="15"/>
  </w:num>
  <w:num w:numId="35">
    <w:abstractNumId w:val="32"/>
  </w:num>
  <w:num w:numId="36">
    <w:abstractNumId w:val="18"/>
  </w:num>
  <w:num w:numId="37">
    <w:abstractNumId w:val="33"/>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7CE4"/>
    <w:rsid w:val="003D75D9"/>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B2D24"/>
    <w:rsid w:val="004B334B"/>
    <w:rsid w:val="004B3FCD"/>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156A"/>
    <w:rsid w:val="0056254E"/>
    <w:rsid w:val="005653C6"/>
    <w:rsid w:val="00572D88"/>
    <w:rsid w:val="00572EFD"/>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A0301"/>
    <w:rsid w:val="008B1AF9"/>
    <w:rsid w:val="008B470B"/>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636F"/>
    <w:rsid w:val="00EA0C6B"/>
    <w:rsid w:val="00EA4456"/>
    <w:rsid w:val="00EA7EF6"/>
    <w:rsid w:val="00EB5703"/>
    <w:rsid w:val="00EC225E"/>
    <w:rsid w:val="00EC47BC"/>
    <w:rsid w:val="00EC70A5"/>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3F55-8927-49A3-A20A-2EF322D5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18848</Words>
  <Characters>103669</Characters>
  <Application>Microsoft Office Word</Application>
  <DocSecurity>8</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5</cp:revision>
  <cp:lastPrinted>2015-12-07T18:40:00Z</cp:lastPrinted>
  <dcterms:created xsi:type="dcterms:W3CDTF">2015-12-15T22:38:00Z</dcterms:created>
  <dcterms:modified xsi:type="dcterms:W3CDTF">2015-12-15T22:43:00Z</dcterms:modified>
</cp:coreProperties>
</file>