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010D05"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LP-919044992-I26-2018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w:t>
      </w:r>
      <w:r w:rsidR="00010D05">
        <w:rPr>
          <w:rFonts w:ascii="Arial Black" w:hAnsi="Arial Black"/>
          <w:b/>
          <w:color w:val="33CCCC"/>
          <w:sz w:val="36"/>
          <w:szCs w:val="28"/>
        </w:rPr>
        <w:t>IAL DE CURACIÓN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10D05">
        <w:rPr>
          <w:rFonts w:asciiTheme="minorHAnsi" w:hAnsiTheme="minorHAnsi" w:cs="Arial"/>
        </w:rPr>
        <w:t>LP-919044992-I26-2018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9D0EDE">
        <w:rPr>
          <w:rFonts w:asciiTheme="minorHAnsi" w:hAnsiTheme="minorHAnsi"/>
        </w:rPr>
        <w:t>“MATERIAL DE CURACIÓN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771F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10D05">
        <w:rPr>
          <w:rFonts w:asciiTheme="minorHAnsi" w:hAnsiTheme="minorHAnsi" w:cs="Arial"/>
        </w:rPr>
        <w:t>LP-919044992-I26-2018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10D05">
        <w:rPr>
          <w:rFonts w:asciiTheme="minorHAnsi" w:hAnsiTheme="minorHAnsi" w:cs="Arial"/>
        </w:rPr>
        <w:t>“MATERIAL DE CURACIÓN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10D05">
        <w:rPr>
          <w:rFonts w:asciiTheme="minorHAnsi" w:hAnsiTheme="minorHAnsi" w:cs="Arial"/>
        </w:rPr>
        <w:t>LP-919044992-I26-2018</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AA6C18" w:rsidRDefault="001A0EBB" w:rsidP="003C7CE4">
      <w:pPr>
        <w:pStyle w:val="Prrafodelista"/>
        <w:numPr>
          <w:ilvl w:val="0"/>
          <w:numId w:val="9"/>
        </w:numPr>
        <w:tabs>
          <w:tab w:val="left" w:pos="284"/>
        </w:tabs>
        <w:ind w:right="51"/>
        <w:jc w:val="both"/>
        <w:rPr>
          <w:rFonts w:asciiTheme="minorHAnsi" w:hAnsiTheme="minorHAnsi" w:cs="Arial"/>
        </w:rPr>
      </w:pPr>
      <w:r w:rsidRPr="00AA6C18">
        <w:rPr>
          <w:rFonts w:asciiTheme="minorHAnsi" w:hAnsiTheme="minorHAnsi" w:cs="Arial"/>
        </w:rPr>
        <w:t xml:space="preserve">La adquisición del </w:t>
      </w:r>
      <w:r w:rsidR="00F63839" w:rsidRPr="00AA6C18">
        <w:rPr>
          <w:rFonts w:asciiTheme="minorHAnsi" w:hAnsiTheme="minorHAnsi" w:cs="Arial"/>
        </w:rPr>
        <w:t xml:space="preserve">material de curación </w:t>
      </w:r>
      <w:r w:rsidR="00B64229" w:rsidRPr="00AA6C18">
        <w:rPr>
          <w:rFonts w:asciiTheme="minorHAnsi" w:hAnsiTheme="minorHAnsi" w:cs="Arial"/>
        </w:rPr>
        <w:t>requerido</w:t>
      </w:r>
      <w:r w:rsidR="00F63839" w:rsidRPr="00AA6C18">
        <w:rPr>
          <w:rFonts w:asciiTheme="minorHAnsi" w:hAnsiTheme="minorHAnsi" w:cs="Arial"/>
        </w:rPr>
        <w:t>s</w:t>
      </w:r>
      <w:r w:rsidR="00B64229" w:rsidRPr="00AA6C18">
        <w:rPr>
          <w:rFonts w:asciiTheme="minorHAnsi" w:hAnsiTheme="minorHAnsi" w:cs="Arial"/>
        </w:rPr>
        <w:t xml:space="preserve"> por </w:t>
      </w:r>
      <w:r w:rsidR="00FB5482" w:rsidRPr="00AA6C18">
        <w:rPr>
          <w:rFonts w:asciiTheme="minorHAnsi" w:hAnsiTheme="minorHAnsi" w:cs="Arial"/>
          <w:bCs/>
        </w:rPr>
        <w:t>l</w:t>
      </w:r>
      <w:r w:rsidR="00B64229" w:rsidRPr="00AA6C18">
        <w:rPr>
          <w:rFonts w:asciiTheme="minorHAnsi" w:hAnsiTheme="minorHAnsi" w:cs="Arial"/>
        </w:rPr>
        <w:t xml:space="preserve">a </w:t>
      </w:r>
      <w:r w:rsidR="00B64229" w:rsidRPr="00AA6C18">
        <w:rPr>
          <w:rFonts w:asciiTheme="minorHAnsi" w:hAnsiTheme="minorHAnsi" w:cs="Arial"/>
          <w:bCs/>
        </w:rPr>
        <w:t>C</w:t>
      </w:r>
      <w:r w:rsidR="00B64229" w:rsidRPr="00AA6C18">
        <w:rPr>
          <w:rFonts w:asciiTheme="minorHAnsi" w:hAnsiTheme="minorHAnsi" w:cs="Arial"/>
        </w:rPr>
        <w:t xml:space="preserve">onvocante, se realizará con recursos del tipo de presupuesto </w:t>
      </w:r>
      <w:r w:rsidR="003B11F8" w:rsidRPr="00AA6C18">
        <w:rPr>
          <w:rFonts w:asciiTheme="minorHAnsi" w:hAnsiTheme="minorHAnsi" w:cs="Arial"/>
        </w:rPr>
        <w:t>110101</w:t>
      </w:r>
      <w:r w:rsidR="00B64229" w:rsidRPr="00AA6C18">
        <w:rPr>
          <w:rFonts w:asciiTheme="minorHAnsi" w:hAnsiTheme="minorHAnsi" w:cs="Arial"/>
        </w:rPr>
        <w:t xml:space="preserve">, </w:t>
      </w:r>
      <w:r w:rsidR="00FB5482" w:rsidRPr="00AA6C18">
        <w:rPr>
          <w:rFonts w:asciiTheme="minorHAnsi" w:hAnsiTheme="minorHAnsi" w:cs="Arial"/>
        </w:rPr>
        <w:t>Programa 020508</w:t>
      </w:r>
      <w:r w:rsidR="00B64229" w:rsidRPr="00AA6C18">
        <w:rPr>
          <w:rFonts w:asciiTheme="minorHAnsi" w:hAnsiTheme="minorHAnsi" w:cs="Arial"/>
        </w:rPr>
        <w:t xml:space="preserve">, Partida </w:t>
      </w:r>
      <w:r w:rsidR="00F63839" w:rsidRPr="00AA6C18">
        <w:rPr>
          <w:rFonts w:asciiTheme="minorHAnsi" w:hAnsiTheme="minorHAnsi" w:cs="Arial"/>
        </w:rPr>
        <w:t>25401</w:t>
      </w:r>
      <w:r w:rsidRPr="00AA6C1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 xml:space="preserve">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w:t>
      </w:r>
      <w:r w:rsidRPr="00A6680A">
        <w:rPr>
          <w:rFonts w:asciiTheme="minorHAnsi" w:hAnsiTheme="minorHAnsi"/>
        </w:rPr>
        <w:lastRenderedPageBreak/>
        <w:t>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Default="00194C59" w:rsidP="00271AB5">
      <w:pPr>
        <w:pStyle w:val="Prrafodelista"/>
        <w:numPr>
          <w:ilvl w:val="2"/>
          <w:numId w:val="23"/>
        </w:numPr>
        <w:ind w:left="1418" w:hanging="567"/>
        <w:jc w:val="both"/>
        <w:rPr>
          <w:rFonts w:asciiTheme="minorHAnsi" w:hAnsiTheme="minorHAnsi" w:cstheme="minorHAnsi"/>
        </w:rPr>
      </w:pPr>
      <w:r w:rsidRPr="009D0EDE">
        <w:rPr>
          <w:rFonts w:asciiTheme="minorHAnsi" w:hAnsiTheme="minorHAnsi" w:cstheme="minorHAnsi"/>
        </w:rPr>
        <w:t xml:space="preserve">El licitante deberá presentar </w:t>
      </w:r>
      <w:r w:rsidR="00954A60" w:rsidRPr="009D0EDE">
        <w:rPr>
          <w:rFonts w:asciiTheme="minorHAnsi" w:hAnsiTheme="minorHAnsi" w:cstheme="minorHAnsi"/>
        </w:rPr>
        <w:t xml:space="preserve">el día </w:t>
      </w:r>
      <w:r w:rsidR="00B7464F" w:rsidRPr="009D0EDE">
        <w:rPr>
          <w:rFonts w:asciiTheme="minorHAnsi" w:hAnsiTheme="minorHAnsi" w:cstheme="minorHAnsi"/>
        </w:rPr>
        <w:t>2</w:t>
      </w:r>
      <w:r w:rsidR="009D0EDE" w:rsidRPr="009D0EDE">
        <w:rPr>
          <w:rFonts w:asciiTheme="minorHAnsi" w:hAnsiTheme="minorHAnsi" w:cstheme="minorHAnsi"/>
        </w:rPr>
        <w:t>0</w:t>
      </w:r>
      <w:r w:rsidRPr="009D0EDE">
        <w:rPr>
          <w:rFonts w:asciiTheme="minorHAnsi" w:hAnsiTheme="minorHAnsi" w:cstheme="minorHAnsi"/>
        </w:rPr>
        <w:t xml:space="preserve"> de </w:t>
      </w:r>
      <w:r w:rsidR="009D0EDE" w:rsidRPr="009D0EDE">
        <w:rPr>
          <w:rFonts w:asciiTheme="minorHAnsi" w:hAnsiTheme="minorHAnsi" w:cstheme="minorHAnsi"/>
        </w:rPr>
        <w:t>Julio</w:t>
      </w:r>
      <w:r w:rsidR="00954A60" w:rsidRPr="009D0EDE">
        <w:rPr>
          <w:rFonts w:asciiTheme="minorHAnsi" w:hAnsiTheme="minorHAnsi" w:cstheme="minorHAnsi"/>
        </w:rPr>
        <w:t xml:space="preserve"> de</w:t>
      </w:r>
      <w:r w:rsidR="00324414" w:rsidRPr="009D0EDE">
        <w:rPr>
          <w:rFonts w:asciiTheme="minorHAnsi" w:hAnsiTheme="minorHAnsi" w:cstheme="minorHAnsi"/>
        </w:rPr>
        <w:t>l</w:t>
      </w:r>
      <w:r w:rsidR="00954A60" w:rsidRPr="009D0EDE">
        <w:rPr>
          <w:rFonts w:asciiTheme="minorHAnsi" w:hAnsiTheme="minorHAnsi" w:cstheme="minorHAnsi"/>
        </w:rPr>
        <w:t xml:space="preserve"> 201</w:t>
      </w:r>
      <w:r w:rsidR="00B7464F" w:rsidRPr="009D0EDE">
        <w:rPr>
          <w:rFonts w:asciiTheme="minorHAnsi" w:hAnsiTheme="minorHAnsi" w:cstheme="minorHAnsi"/>
        </w:rPr>
        <w:t>8</w:t>
      </w:r>
      <w:r w:rsidRPr="009D0EDE">
        <w:rPr>
          <w:rFonts w:asciiTheme="minorHAnsi" w:hAnsiTheme="minorHAnsi" w:cstheme="minorHAnsi"/>
        </w:rPr>
        <w:t xml:space="preserve"> </w:t>
      </w:r>
      <w:r w:rsidR="009D0EDE" w:rsidRPr="009D0EDE">
        <w:rPr>
          <w:rFonts w:asciiTheme="minorHAnsi" w:hAnsiTheme="minorHAnsi" w:cstheme="minorHAnsi"/>
        </w:rPr>
        <w:t>el 100%</w:t>
      </w:r>
      <w:r w:rsidRPr="009D0EDE">
        <w:rPr>
          <w:rFonts w:asciiTheme="minorHAnsi" w:hAnsiTheme="minorHAnsi" w:cstheme="minorHAnsi"/>
        </w:rPr>
        <w:t xml:space="preserve">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en el Almacén Central ubicado en Prolongación Díaz Ordaz No. 204, Col. Díaz Ordaz, San Nicolás de los Garza, N. L., en un</w:t>
      </w:r>
      <w:r w:rsidR="00C9461A" w:rsidRPr="009D0EDE">
        <w:rPr>
          <w:rFonts w:asciiTheme="minorHAnsi" w:hAnsiTheme="minorHAnsi" w:cstheme="minorHAnsi"/>
        </w:rPr>
        <w:t xml:space="preserve"> horario de 9:00 a 14:00 horas. </w:t>
      </w:r>
    </w:p>
    <w:p w:rsidR="009D0EDE" w:rsidRPr="009D0EDE" w:rsidRDefault="009D0EDE" w:rsidP="009D0EDE">
      <w:pPr>
        <w:pStyle w:val="Prrafodelista"/>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271AB5">
      <w:pPr>
        <w:pStyle w:val="Prrafodelista"/>
        <w:numPr>
          <w:ilvl w:val="2"/>
          <w:numId w:val="23"/>
        </w:numPr>
        <w:ind w:left="1418" w:hanging="567"/>
        <w:jc w:val="both"/>
        <w:rPr>
          <w:rFonts w:asciiTheme="minorHAnsi" w:hAnsiTheme="minorHAnsi"/>
        </w:rPr>
      </w:pPr>
      <w:r w:rsidRPr="009D0EDE">
        <w:rPr>
          <w:rFonts w:asciiTheme="minorHAnsi" w:hAnsiTheme="minorHAnsi"/>
        </w:rPr>
        <w:t>El licitante deberá presentar copia simple completa</w:t>
      </w:r>
      <w:r w:rsidR="0008684F" w:rsidRPr="009D0EDE">
        <w:rPr>
          <w:rFonts w:asciiTheme="minorHAnsi" w:hAnsiTheme="minorHAnsi"/>
        </w:rPr>
        <w:t xml:space="preserve"> </w:t>
      </w:r>
      <w:r w:rsidRPr="009D0EDE">
        <w:rPr>
          <w:rFonts w:asciiTheme="minorHAnsi" w:hAnsiTheme="minorHAnsi"/>
        </w:rPr>
        <w:t xml:space="preserve">(anverso y reverso) y legible del registro </w:t>
      </w:r>
      <w:r w:rsidR="00C90011" w:rsidRPr="009D0EDE">
        <w:rPr>
          <w:rFonts w:asciiTheme="minorHAnsi" w:hAnsiTheme="minorHAnsi"/>
        </w:rPr>
        <w:t>sanitario</w:t>
      </w:r>
      <w:r w:rsidR="0008684F" w:rsidRPr="009D0EDE">
        <w:rPr>
          <w:rFonts w:asciiTheme="minorHAnsi" w:hAnsiTheme="minorHAnsi"/>
        </w:rPr>
        <w:t>,</w:t>
      </w:r>
      <w:r w:rsidR="00C90011" w:rsidRPr="009D0EDE">
        <w:rPr>
          <w:rFonts w:asciiTheme="minorHAnsi" w:hAnsiTheme="minorHAnsi"/>
        </w:rPr>
        <w:t xml:space="preserve"> </w:t>
      </w:r>
      <w:r w:rsidR="0008684F" w:rsidRPr="009D0EDE">
        <w:rPr>
          <w:rFonts w:asciiTheme="minorHAnsi" w:hAnsiTheme="minorHAnsi"/>
        </w:rPr>
        <w:t xml:space="preserve">identificado con el nombre del licitante, </w:t>
      </w:r>
      <w:r w:rsidR="00C45AEF" w:rsidRPr="009D0EDE">
        <w:rPr>
          <w:rFonts w:asciiTheme="minorHAnsi" w:hAnsiTheme="minorHAnsi"/>
        </w:rPr>
        <w:t xml:space="preserve">del </w:t>
      </w:r>
      <w:r w:rsidR="009D0EDE" w:rsidRPr="009D0EDE">
        <w:rPr>
          <w:rFonts w:asciiTheme="minorHAnsi" w:hAnsiTheme="minorHAnsi"/>
        </w:rPr>
        <w:t>100</w:t>
      </w:r>
      <w:r w:rsidR="00194C59" w:rsidRPr="009D0EDE">
        <w:rPr>
          <w:rFonts w:asciiTheme="minorHAnsi" w:hAnsiTheme="minorHAnsi"/>
        </w:rPr>
        <w:t xml:space="preserve">% de los </w:t>
      </w:r>
      <w:r w:rsidRPr="009D0EDE">
        <w:rPr>
          <w:rFonts w:asciiTheme="minorHAnsi" w:hAnsiTheme="minorHAnsi"/>
        </w:rPr>
        <w:t xml:space="preserve">Materiales de Curación incluidos en </w:t>
      </w:r>
      <w:r w:rsidR="00113DC1" w:rsidRPr="009D0EDE">
        <w:rPr>
          <w:rFonts w:asciiTheme="minorHAnsi" w:hAnsiTheme="minorHAnsi"/>
        </w:rPr>
        <w:t>el</w:t>
      </w:r>
      <w:r w:rsidRPr="009D0EDE">
        <w:rPr>
          <w:rFonts w:asciiTheme="minorHAnsi" w:hAnsiTheme="minorHAnsi"/>
        </w:rPr>
        <w:t xml:space="preserve"> anexo </w:t>
      </w:r>
      <w:r w:rsidR="00113DC1" w:rsidRPr="009D0EDE">
        <w:rPr>
          <w:rFonts w:asciiTheme="minorHAnsi" w:hAnsiTheme="minorHAnsi"/>
        </w:rPr>
        <w:t>1</w:t>
      </w:r>
      <w:r w:rsidR="00FB14A7" w:rsidRPr="009D0EDE">
        <w:rPr>
          <w:rFonts w:asciiTheme="minorHAnsi" w:hAnsiTheme="minorHAnsi"/>
        </w:rPr>
        <w:t xml:space="preserve">A </w:t>
      </w:r>
      <w:r w:rsidRPr="009D0EDE">
        <w:rPr>
          <w:rFonts w:asciiTheme="minorHAnsi" w:hAnsiTheme="minorHAnsi"/>
        </w:rPr>
        <w:t xml:space="preserve">en el cual se mencione el nombre del fabricante y la descripción técnica del </w:t>
      </w:r>
      <w:r w:rsidR="00194C59" w:rsidRPr="009D0EDE">
        <w:rPr>
          <w:rFonts w:asciiTheme="minorHAnsi" w:hAnsiTheme="minorHAnsi"/>
        </w:rPr>
        <w:t xml:space="preserve">insumo </w:t>
      </w:r>
      <w:r w:rsidRPr="009D0EDE">
        <w:rPr>
          <w:rFonts w:asciiTheme="minorHAnsi" w:hAnsiTheme="minorHAnsi"/>
        </w:rPr>
        <w:t xml:space="preserve">ofertado, referenciando el número de renglón y clave. </w:t>
      </w:r>
    </w:p>
    <w:p w:rsidR="009D0EDE" w:rsidRPr="009D0EDE" w:rsidRDefault="009D0EDE" w:rsidP="009D0EDE">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9D0EDE">
        <w:rPr>
          <w:rFonts w:asciiTheme="minorHAnsi" w:hAnsiTheme="minorHAnsi"/>
          <w:b/>
          <w:u w:val="single"/>
        </w:rPr>
        <w:t>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9D0EDE">
        <w:rPr>
          <w:rFonts w:asciiTheme="minorHAnsi" w:hAnsiTheme="minorHAnsi" w:cstheme="minorHAnsi"/>
        </w:rPr>
        <w:t>25</w:t>
      </w:r>
      <w:r w:rsidR="00C215F6">
        <w:rPr>
          <w:rFonts w:asciiTheme="minorHAnsi" w:hAnsiTheme="minorHAnsi" w:cstheme="minorHAnsi"/>
        </w:rPr>
        <w:t xml:space="preserve"> de </w:t>
      </w:r>
      <w:r w:rsidR="009D0EDE">
        <w:rPr>
          <w:rFonts w:asciiTheme="minorHAnsi" w:hAnsiTheme="minorHAnsi" w:cstheme="minorHAnsi"/>
        </w:rPr>
        <w:t>Julio</w:t>
      </w:r>
      <w:r w:rsidRPr="00EE37D3">
        <w:rPr>
          <w:rFonts w:asciiTheme="minorHAnsi" w:hAnsiTheme="minorHAnsi" w:cstheme="minorHAnsi"/>
        </w:rPr>
        <w:t xml:space="preserve"> del 201</w:t>
      </w:r>
      <w:r w:rsidR="00C66510">
        <w:rPr>
          <w:rFonts w:asciiTheme="minorHAnsi" w:hAnsiTheme="minorHAnsi" w:cstheme="minorHAnsi"/>
        </w:rPr>
        <w:t>8</w:t>
      </w:r>
      <w:r w:rsidRPr="00EE37D3">
        <w:rPr>
          <w:rFonts w:asciiTheme="minorHAnsi" w:hAnsiTheme="minorHAnsi" w:cstheme="minorHAnsi"/>
        </w:rPr>
        <w:t xml:space="preserve"> al 31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lastRenderedPageBreak/>
        <w:t xml:space="preserve">El lugar de entrega del material de curación será en </w:t>
      </w:r>
      <w:r w:rsidR="009771F3">
        <w:rPr>
          <w:rFonts w:asciiTheme="minorHAnsi" w:hAnsiTheme="minorHAnsi"/>
        </w:rPr>
        <w:t>el Almacén</w:t>
      </w:r>
      <w:r w:rsidR="009D0EDE">
        <w:rPr>
          <w:rFonts w:asciiTheme="minorHAnsi" w:hAnsiTheme="minorHAnsi"/>
        </w:rPr>
        <w:t xml:space="preserve"> de la Unidad Aplicativa, la cua</w:t>
      </w:r>
      <w:r w:rsidR="009771F3">
        <w:rPr>
          <w:rFonts w:asciiTheme="minorHAnsi" w:hAnsiTheme="minorHAnsi"/>
        </w:rPr>
        <w:t xml:space="preserve">l se encuentran en el siguiente </w:t>
      </w:r>
      <w:r>
        <w:rPr>
          <w:rFonts w:asciiTheme="minorHAnsi" w:hAnsiTheme="minorHAnsi"/>
        </w:rPr>
        <w:t>domicilio:</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lastRenderedPageBreak/>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rsidR="009771F3" w:rsidRPr="009771F3" w:rsidRDefault="009771F3"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w:t>
      </w:r>
      <w:r w:rsidRPr="00A6680A">
        <w:rPr>
          <w:rFonts w:asciiTheme="minorHAnsi" w:hAnsiTheme="minorHAnsi"/>
          <w:bCs/>
        </w:rPr>
        <w:lastRenderedPageBreak/>
        <w:t xml:space="preserve">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w:t>
      </w:r>
      <w:r w:rsidR="009D0EDE">
        <w:rPr>
          <w:rFonts w:asciiTheme="minorHAnsi" w:hAnsiTheme="minorHAnsi"/>
        </w:rPr>
        <w:t>del 100% de los insumos ofertados.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00324414" w:rsidRPr="00336407">
        <w:rPr>
          <w:rFonts w:asciiTheme="minorHAnsi" w:hAnsiTheme="minorHAnsi" w:cs="Arial"/>
        </w:rPr>
        <w:t xml:space="preserve"> publicada en el DOF el 2</w:t>
      </w:r>
      <w:r w:rsidR="009771F3">
        <w:rPr>
          <w:rFonts w:asciiTheme="minorHAnsi" w:hAnsiTheme="minorHAnsi" w:cs="Arial"/>
        </w:rPr>
        <w:t>2</w:t>
      </w:r>
      <w:r w:rsidR="00324414" w:rsidRPr="00336407">
        <w:rPr>
          <w:rFonts w:asciiTheme="minorHAnsi" w:hAnsiTheme="minorHAnsi" w:cs="Arial"/>
        </w:rPr>
        <w:t xml:space="preserve"> de Dici</w:t>
      </w:r>
      <w:r w:rsidR="009771F3">
        <w:rPr>
          <w:rFonts w:asciiTheme="minorHAnsi" w:hAnsiTheme="minorHAnsi" w:cs="Arial"/>
        </w:rPr>
        <w:t>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w:t>
      </w:r>
      <w:r w:rsidRPr="00B36399">
        <w:rPr>
          <w:rFonts w:asciiTheme="minorHAnsi" w:hAnsiTheme="minorHAnsi" w:cstheme="minorHAnsi"/>
          <w:lang w:val="es-MX"/>
        </w:rPr>
        <w:lastRenderedPageBreak/>
        <w:t xml:space="preserve">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w:t>
      </w:r>
      <w:r w:rsidR="009D0EDE">
        <w:rPr>
          <w:rFonts w:asciiTheme="minorHAnsi" w:hAnsiTheme="minorHAnsi" w:cstheme="minorHAnsi"/>
        </w:rPr>
        <w:t>dad, la falta de presentación de este documento no afecta la solvencia de la proposición.</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9D0EDE"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9D0EDE">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9D0EDE">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9D0EDE">
        <w:rPr>
          <w:rFonts w:asciiTheme="minorHAnsi" w:hAnsiTheme="minorHAnsi"/>
          <w:color w:val="auto"/>
          <w:sz w:val="20"/>
          <w:szCs w:val="20"/>
        </w:rPr>
        <w:t>4</w:t>
      </w:r>
      <w:r w:rsidRPr="00566EE4">
        <w:rPr>
          <w:rFonts w:asciiTheme="minorHAnsi" w:hAnsiTheme="minorHAnsi"/>
          <w:color w:val="auto"/>
          <w:sz w:val="20"/>
          <w:szCs w:val="20"/>
        </w:rPr>
        <w:t xml:space="preserve"> de </w:t>
      </w:r>
      <w:r w:rsidR="009D0EDE">
        <w:rPr>
          <w:rFonts w:asciiTheme="minorHAnsi" w:hAnsiTheme="minorHAnsi"/>
          <w:color w:val="auto"/>
          <w:sz w:val="20"/>
          <w:szCs w:val="20"/>
        </w:rPr>
        <w:t>Julio</w:t>
      </w:r>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9D0EDE" w:rsidRPr="00566EE4">
        <w:rPr>
          <w:rFonts w:asciiTheme="minorHAnsi" w:hAnsiTheme="minorHAnsi"/>
          <w:color w:val="auto"/>
          <w:sz w:val="20"/>
          <w:szCs w:val="20"/>
        </w:rPr>
        <w:t xml:space="preserve">el </w:t>
      </w:r>
      <w:r w:rsidR="009D0EDE">
        <w:rPr>
          <w:rFonts w:asciiTheme="minorHAnsi" w:hAnsiTheme="minorHAnsi"/>
          <w:color w:val="auto"/>
          <w:sz w:val="20"/>
          <w:szCs w:val="20"/>
        </w:rPr>
        <w:t>4</w:t>
      </w:r>
      <w:r w:rsidR="009D0EDE" w:rsidRPr="00566EE4">
        <w:rPr>
          <w:rFonts w:asciiTheme="minorHAnsi" w:hAnsiTheme="minorHAnsi"/>
          <w:color w:val="auto"/>
          <w:sz w:val="20"/>
          <w:szCs w:val="20"/>
        </w:rPr>
        <w:t xml:space="preserve"> de </w:t>
      </w:r>
      <w:r w:rsidR="009D0EDE">
        <w:rPr>
          <w:rFonts w:asciiTheme="minorHAnsi" w:hAnsiTheme="minorHAnsi"/>
          <w:color w:val="auto"/>
          <w:sz w:val="20"/>
          <w:szCs w:val="20"/>
        </w:rPr>
        <w:t>Julio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B7464F">
              <w:rPr>
                <w:rFonts w:ascii="Century Gothic" w:hAnsi="Century Gothic" w:cs="Arial"/>
                <w:b/>
                <w:color w:val="000000"/>
                <w:sz w:val="18"/>
              </w:rPr>
              <w:t>Internacional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010D05">
              <w:rPr>
                <w:rFonts w:ascii="Century Gothic" w:hAnsi="Century Gothic" w:cs="Arial"/>
                <w:b/>
                <w:color w:val="000000"/>
                <w:sz w:val="18"/>
              </w:rPr>
              <w:t>LP-919044992-I26-2018</w:t>
            </w:r>
          </w:p>
          <w:p w:rsidR="00C215F6" w:rsidRPr="00E50172" w:rsidRDefault="00010D05" w:rsidP="00C215F6">
            <w:pPr>
              <w:jc w:val="center"/>
              <w:rPr>
                <w:rFonts w:ascii="Century Gothic" w:hAnsi="Century Gothic" w:cs="Arial"/>
                <w:b/>
                <w:bCs/>
                <w:color w:val="000000"/>
                <w:sz w:val="16"/>
              </w:rPr>
            </w:pPr>
            <w:r>
              <w:rPr>
                <w:rFonts w:ascii="Century Gothic" w:hAnsi="Century Gothic" w:cs="Arial"/>
                <w:b/>
                <w:color w:val="000000"/>
                <w:sz w:val="18"/>
              </w:rPr>
              <w:t>“MATERIAL DE CURACIÓN ”</w:t>
            </w:r>
            <w:r w:rsidR="00C215F6">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9D0EDE" w:rsidP="00C215F6">
            <w:pPr>
              <w:jc w:val="center"/>
              <w:rPr>
                <w:rFonts w:ascii="Century Gothic" w:hAnsi="Century Gothic" w:cs="Arial"/>
                <w:sz w:val="16"/>
                <w:szCs w:val="18"/>
              </w:rPr>
            </w:pPr>
            <w:r>
              <w:rPr>
                <w:rFonts w:ascii="Century Gothic" w:hAnsi="Century Gothic" w:cs="Arial"/>
                <w:sz w:val="16"/>
                <w:szCs w:val="18"/>
              </w:rPr>
              <w:t>11/07</w:t>
            </w:r>
            <w:r w:rsidR="00B7464F">
              <w:rPr>
                <w:rFonts w:ascii="Century Gothic" w:hAnsi="Century Gothic" w:cs="Arial"/>
                <w:sz w:val="16"/>
                <w:szCs w:val="18"/>
              </w:rPr>
              <w:t>/2018</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sidR="0008684F">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9D0EDE" w:rsidP="00C215F6">
            <w:pPr>
              <w:jc w:val="center"/>
              <w:rPr>
                <w:rFonts w:ascii="Century Gothic" w:hAnsi="Century Gothic" w:cs="Arial"/>
                <w:sz w:val="16"/>
                <w:szCs w:val="18"/>
              </w:rPr>
            </w:pPr>
            <w:r>
              <w:rPr>
                <w:rFonts w:ascii="Century Gothic" w:hAnsi="Century Gothic" w:cs="Arial"/>
                <w:sz w:val="16"/>
                <w:szCs w:val="18"/>
              </w:rPr>
              <w:t>23/07</w:t>
            </w:r>
            <w:r w:rsidR="00BA5A6C">
              <w:rPr>
                <w:rFonts w:ascii="Century Gothic" w:hAnsi="Century Gothic" w:cs="Arial"/>
                <w:sz w:val="16"/>
                <w:szCs w:val="18"/>
              </w:rPr>
              <w:t>/2018</w:t>
            </w:r>
          </w:p>
          <w:p w:rsidR="00C215F6" w:rsidRPr="00566EE4" w:rsidRDefault="009D0EDE" w:rsidP="00C215F6">
            <w:pPr>
              <w:jc w:val="center"/>
              <w:rPr>
                <w:rFonts w:ascii="Century Gothic" w:hAnsi="Century Gothic" w:cs="Arial"/>
                <w:sz w:val="16"/>
                <w:szCs w:val="18"/>
              </w:rPr>
            </w:pPr>
            <w:r>
              <w:rPr>
                <w:rFonts w:ascii="Century Gothic" w:hAnsi="Century Gothic" w:cs="Arial"/>
                <w:sz w:val="16"/>
                <w:szCs w:val="18"/>
              </w:rPr>
              <w:t>09:30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9D0EDE" w:rsidP="00BA5A6C">
            <w:pPr>
              <w:jc w:val="center"/>
              <w:rPr>
                <w:rFonts w:ascii="Century Gothic" w:hAnsi="Century Gothic" w:cs="Arial"/>
                <w:sz w:val="16"/>
                <w:szCs w:val="18"/>
              </w:rPr>
            </w:pPr>
            <w:r>
              <w:rPr>
                <w:rFonts w:ascii="Century Gothic" w:hAnsi="Century Gothic" w:cs="Arial"/>
                <w:sz w:val="16"/>
                <w:szCs w:val="18"/>
              </w:rPr>
              <w:t>24/07</w:t>
            </w:r>
            <w:r w:rsidR="00BA5A6C">
              <w:rPr>
                <w:rFonts w:ascii="Century Gothic" w:hAnsi="Century Gothic" w:cs="Arial"/>
                <w:sz w:val="16"/>
                <w:szCs w:val="18"/>
              </w:rPr>
              <w:t>/2018</w:t>
            </w:r>
          </w:p>
          <w:p w:rsidR="00C215F6" w:rsidRPr="00566EE4" w:rsidRDefault="00BA5A6C" w:rsidP="00BA5A6C">
            <w:pPr>
              <w:jc w:val="center"/>
              <w:rPr>
                <w:rFonts w:ascii="Century Gothic" w:hAnsi="Century Gothic" w:cs="Arial"/>
                <w:sz w:val="16"/>
                <w:szCs w:val="18"/>
              </w:rPr>
            </w:pPr>
            <w:r>
              <w:rPr>
                <w:rFonts w:ascii="Century Gothic" w:hAnsi="Century Gothic" w:cs="Arial"/>
                <w:sz w:val="16"/>
                <w:szCs w:val="18"/>
              </w:rPr>
              <w:t>10:00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D0EDE" w:rsidRPr="00566EE4" w:rsidRDefault="009D0EDE" w:rsidP="009D0EDE">
            <w:pPr>
              <w:jc w:val="center"/>
              <w:rPr>
                <w:rFonts w:ascii="Century Gothic" w:hAnsi="Century Gothic" w:cs="Arial"/>
                <w:sz w:val="16"/>
                <w:szCs w:val="18"/>
              </w:rPr>
            </w:pPr>
            <w:r>
              <w:rPr>
                <w:rFonts w:ascii="Century Gothic" w:hAnsi="Century Gothic" w:cs="Arial"/>
                <w:sz w:val="16"/>
                <w:szCs w:val="18"/>
              </w:rPr>
              <w:t>24/07/2018</w:t>
            </w:r>
          </w:p>
          <w:p w:rsidR="00C215F6" w:rsidRPr="00566EE4" w:rsidRDefault="009D0EDE" w:rsidP="009D0EDE">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D0EDE" w:rsidRPr="00566EE4" w:rsidRDefault="009D0EDE" w:rsidP="009D0EDE">
            <w:pPr>
              <w:jc w:val="center"/>
              <w:rPr>
                <w:rFonts w:ascii="Century Gothic" w:hAnsi="Century Gothic" w:cs="Arial"/>
                <w:sz w:val="16"/>
                <w:szCs w:val="18"/>
              </w:rPr>
            </w:pPr>
            <w:r>
              <w:rPr>
                <w:rFonts w:ascii="Century Gothic" w:hAnsi="Century Gothic" w:cs="Arial"/>
                <w:sz w:val="16"/>
                <w:szCs w:val="18"/>
              </w:rPr>
              <w:t>24/07/2018</w:t>
            </w:r>
          </w:p>
          <w:p w:rsidR="00C215F6" w:rsidRPr="00566EE4" w:rsidRDefault="009D0EDE" w:rsidP="009D0EDE">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9D0ED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9D0EDE">
              <w:rPr>
                <w:rFonts w:ascii="Century Gothic" w:hAnsi="Century Gothic" w:cs="Arial"/>
                <w:sz w:val="16"/>
                <w:szCs w:val="18"/>
              </w:rPr>
              <w:t>día 7</w:t>
            </w:r>
            <w:r w:rsidRPr="00566EE4">
              <w:rPr>
                <w:rFonts w:ascii="Century Gothic" w:hAnsi="Century Gothic" w:cs="Arial"/>
                <w:sz w:val="16"/>
                <w:szCs w:val="18"/>
              </w:rPr>
              <w:t xml:space="preserve"> de </w:t>
            </w:r>
            <w:r w:rsidR="009D0EDE">
              <w:rPr>
                <w:rFonts w:ascii="Century Gothic" w:hAnsi="Century Gothic" w:cs="Arial"/>
                <w:sz w:val="16"/>
                <w:szCs w:val="18"/>
              </w:rPr>
              <w:t>Agosto</w:t>
            </w:r>
            <w:r w:rsidRPr="00566EE4">
              <w:rPr>
                <w:rFonts w:ascii="Century Gothic" w:hAnsi="Century Gothic" w:cs="Arial"/>
                <w:sz w:val="16"/>
                <w:szCs w:val="18"/>
              </w:rPr>
              <w:t xml:space="preserve"> de 201</w:t>
            </w:r>
            <w:r w:rsidR="0008684F">
              <w:rPr>
                <w:rFonts w:ascii="Century Gothic" w:hAnsi="Century Gothic" w:cs="Arial"/>
                <w:sz w:val="16"/>
                <w:szCs w:val="18"/>
              </w:rPr>
              <w:t>8</w:t>
            </w:r>
            <w:r w:rsidRPr="00566EE4">
              <w:rPr>
                <w:rFonts w:ascii="Century Gothic" w:hAnsi="Century Gothic" w:cs="Arial"/>
                <w:sz w:val="16"/>
                <w:szCs w:val="18"/>
              </w:rPr>
              <w:t xml:space="preserve"> en </w:t>
            </w:r>
            <w:r w:rsidR="009D0ED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D0EDE">
        <w:rPr>
          <w:rFonts w:ascii="Calibri" w:hAnsi="Calibri"/>
          <w:sz w:val="20"/>
        </w:rPr>
        <w:t>25</w:t>
      </w:r>
      <w:r w:rsidR="00C215F6">
        <w:rPr>
          <w:rFonts w:ascii="Calibri" w:hAnsi="Calibri"/>
          <w:sz w:val="20"/>
        </w:rPr>
        <w:t xml:space="preserve"> de </w:t>
      </w:r>
      <w:r w:rsidR="009D0EDE">
        <w:rPr>
          <w:rFonts w:ascii="Calibri" w:hAnsi="Calibri"/>
          <w:sz w:val="20"/>
        </w:rPr>
        <w:t>Julio</w:t>
      </w:r>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D0EDE">
        <w:rPr>
          <w:rFonts w:asciiTheme="minorHAnsi" w:hAnsiTheme="minorHAnsi"/>
          <w:b/>
        </w:rPr>
        <w:t>4</w:t>
      </w:r>
      <w:r w:rsidR="0008684F">
        <w:rPr>
          <w:rFonts w:asciiTheme="minorHAnsi" w:hAnsiTheme="minorHAnsi"/>
          <w:b/>
        </w:rPr>
        <w:t xml:space="preserve"> DE </w:t>
      </w:r>
      <w:r w:rsidR="009D0EDE">
        <w:rPr>
          <w:rFonts w:asciiTheme="minorHAnsi" w:hAnsiTheme="minorHAnsi"/>
          <w:b/>
        </w:rPr>
        <w:t>JULIO</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AA6C18">
            <w:pPr>
              <w:jc w:val="center"/>
              <w:rPr>
                <w:rFonts w:asciiTheme="minorHAnsi" w:hAnsiTheme="minorHAnsi" w:cs="Arial"/>
              </w:rPr>
            </w:pPr>
            <w:r>
              <w:rPr>
                <w:rFonts w:asciiTheme="minorHAnsi" w:hAnsiTheme="minorHAnsi" w:cs="Arial"/>
              </w:rPr>
              <w:t>MATERIAL D</w:t>
            </w:r>
            <w:bookmarkStart w:id="1" w:name="_GoBack"/>
            <w:bookmarkEnd w:id="1"/>
            <w:r>
              <w:rPr>
                <w:rFonts w:asciiTheme="minorHAnsi" w:hAnsiTheme="minorHAnsi" w:cs="Arial"/>
              </w:rPr>
              <w:t>E CURACIÓN</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0971" w:type="dxa"/>
        <w:jc w:val="center"/>
        <w:tblCellMar>
          <w:left w:w="70" w:type="dxa"/>
          <w:right w:w="70" w:type="dxa"/>
        </w:tblCellMar>
        <w:tblLook w:val="04A0" w:firstRow="1" w:lastRow="0" w:firstColumn="1" w:lastColumn="0" w:noHBand="0" w:noVBand="1"/>
      </w:tblPr>
      <w:tblGrid>
        <w:gridCol w:w="940"/>
        <w:gridCol w:w="1030"/>
        <w:gridCol w:w="5397"/>
        <w:gridCol w:w="992"/>
        <w:gridCol w:w="1412"/>
        <w:gridCol w:w="1200"/>
      </w:tblGrid>
      <w:tr w:rsidR="00271AB5" w:rsidRPr="00271AB5" w:rsidTr="00527E8D">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RENGLÓN</w:t>
            </w:r>
          </w:p>
        </w:tc>
        <w:tc>
          <w:tcPr>
            <w:tcW w:w="1030"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CLAVE</w:t>
            </w:r>
          </w:p>
        </w:tc>
        <w:tc>
          <w:tcPr>
            <w:tcW w:w="5397"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DESCRIPCION</w:t>
            </w:r>
          </w:p>
        </w:tc>
        <w:tc>
          <w:tcPr>
            <w:tcW w:w="992"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UNIDAD DE MEDIDA</w:t>
            </w:r>
          </w:p>
        </w:tc>
        <w:tc>
          <w:tcPr>
            <w:tcW w:w="1412"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CANTIDAD</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1</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5044700091</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ESPONJA DE POLIURETANO GRADO MEDICO NEGRO HIDROFOBICO PARA TERAPIA DE HERIDAS CON PRESION NEGATIVA</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jc w:val="center"/>
              <w:rPr>
                <w:rFonts w:ascii="Arial" w:hAnsi="Arial" w:cs="Arial"/>
                <w:color w:val="000000"/>
                <w:sz w:val="16"/>
                <w:szCs w:val="16"/>
                <w:lang w:val="es-MX" w:eastAsia="es-MX"/>
              </w:rPr>
            </w:pPr>
            <w:r w:rsidRPr="00271AB5">
              <w:rPr>
                <w:rFonts w:ascii="Arial" w:hAnsi="Arial" w:cs="Arial"/>
                <w:color w:val="000000"/>
                <w:sz w:val="16"/>
                <w:szCs w:val="16"/>
                <w:lang w:val="es-MX" w:eastAsia="es-MX"/>
              </w:rPr>
              <w:t>PIEZA</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50</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2</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5049500416</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APOSITO DE ESPUMA DE POLIURETANO RETICULADO GRADO MEDICO HIDROFOBICO PORO ABIERTO, CON ORIFICIOS DE 400-600 MICRAS QUE CONTIENE PLATA DE COLOR PLATEADO, OVALADO DE 25.6 CM LARGO POR 15 CM ANCHO Y 3.2 CM ESPESOR PARA TERAPIA DE HERIDAS CON PRESION NEGATIVA</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jc w:val="center"/>
              <w:rPr>
                <w:rFonts w:ascii="Arial" w:hAnsi="Arial" w:cs="Arial"/>
                <w:color w:val="000000"/>
                <w:sz w:val="16"/>
                <w:szCs w:val="16"/>
                <w:lang w:val="es-MX" w:eastAsia="es-MX"/>
              </w:rPr>
            </w:pPr>
            <w:r w:rsidRPr="00271AB5">
              <w:rPr>
                <w:rFonts w:ascii="Arial" w:hAnsi="Arial" w:cs="Arial"/>
                <w:color w:val="000000"/>
                <w:sz w:val="16"/>
                <w:szCs w:val="16"/>
                <w:lang w:val="es-MX" w:eastAsia="es-MX"/>
              </w:rPr>
              <w:t>PIEZA</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62</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3</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4040880306</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APOSITO PARA ABDOMEN ABIERTO, CONSTA DE UNA CAPA CPROTECTORA VISCERAL (VPL), CAPA DE CONTACTO ELABORADA A BASE DE DOS PELICULAS DE POLIUTERANO FENESTRADAS DE MANERA BALANCEADA CON UN ESPESOR DE 160 MICRONES DE FORMA OVAL DE DIMENSIONES DE 665 A 80 MM Y UN</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jc w:val="center"/>
              <w:rPr>
                <w:rFonts w:ascii="Arial" w:hAnsi="Arial" w:cs="Arial"/>
                <w:color w:val="000000"/>
                <w:sz w:val="16"/>
                <w:szCs w:val="16"/>
                <w:lang w:val="es-MX" w:eastAsia="es-MX"/>
              </w:rPr>
            </w:pPr>
            <w:r w:rsidRPr="00271AB5">
              <w:rPr>
                <w:rFonts w:ascii="Arial" w:hAnsi="Arial" w:cs="Arial"/>
                <w:color w:val="000000"/>
                <w:sz w:val="16"/>
                <w:szCs w:val="16"/>
                <w:lang w:val="es-MX" w:eastAsia="es-MX"/>
              </w:rPr>
              <w:t>PIEZA</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20</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4</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5042000612</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rPr>
                <w:rFonts w:ascii="Arial" w:hAnsi="Arial" w:cs="Arial"/>
                <w:color w:val="000000"/>
                <w:sz w:val="16"/>
                <w:szCs w:val="16"/>
                <w:lang w:val="es-MX" w:eastAsia="es-MX"/>
              </w:rPr>
            </w:pPr>
            <w:r w:rsidRPr="00271AB5">
              <w:rPr>
                <w:rFonts w:ascii="Arial" w:hAnsi="Arial" w:cs="Arial"/>
                <w:color w:val="000000"/>
                <w:sz w:val="16"/>
                <w:szCs w:val="16"/>
                <w:lang w:val="es-MX" w:eastAsia="es-MX"/>
              </w:rPr>
              <w:t>CANISTER DE RECOLECCION PARA TERAPIA VAC DE 1000 ML RECOLECTOR PARA TERAPIA DE HERIDAS CON PRESION NEGATIVA.</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jc w:val="center"/>
              <w:rPr>
                <w:rFonts w:ascii="Arial" w:hAnsi="Arial" w:cs="Arial"/>
                <w:color w:val="000000"/>
                <w:sz w:val="16"/>
                <w:szCs w:val="16"/>
                <w:lang w:val="es-MX" w:eastAsia="es-MX"/>
              </w:rPr>
            </w:pPr>
            <w:r w:rsidRPr="00271AB5">
              <w:rPr>
                <w:rFonts w:ascii="Arial" w:hAnsi="Arial" w:cs="Arial"/>
                <w:color w:val="000000"/>
                <w:sz w:val="16"/>
                <w:szCs w:val="16"/>
                <w:lang w:val="es-MX" w:eastAsia="es-MX"/>
              </w:rPr>
              <w:t>PIEZA</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105</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010D05">
              <w:rPr>
                <w:rFonts w:ascii="Calibri" w:hAnsi="Calibri"/>
                <w:b/>
                <w:bCs/>
              </w:rPr>
              <w:t>LP-919044992-I26-2018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010D05">
              <w:rPr>
                <w:rFonts w:asciiTheme="minorHAnsi" w:hAnsiTheme="minorHAnsi" w:cs="Arial"/>
                <w:bCs/>
                <w:u w:val="single"/>
              </w:rPr>
              <w:t>LP-919044992-I26-2018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010D05">
        <w:rPr>
          <w:rFonts w:ascii="Calibri" w:hAnsi="Calibri" w:cs="Calibri"/>
          <w:b/>
          <w:bCs/>
          <w:sz w:val="20"/>
          <w:szCs w:val="20"/>
        </w:rPr>
        <w:t>LP-919044992-I26-2018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27E8D">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27E8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27E8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10D05">
        <w:rPr>
          <w:rFonts w:ascii="Calibri" w:hAnsi="Calibri" w:cs="Calibri"/>
          <w:b/>
          <w:bCs/>
          <w:sz w:val="20"/>
          <w:szCs w:val="20"/>
        </w:rPr>
        <w:t>LP-919044992-I26-2018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10D05">
        <w:rPr>
          <w:rFonts w:ascii="Calibri" w:hAnsi="Calibri"/>
          <w:b/>
          <w:bCs/>
          <w:sz w:val="20"/>
          <w:szCs w:val="20"/>
        </w:rPr>
        <w:t>LP-919044992-I26-2018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27E8D">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w:t>
            </w:r>
            <w:r w:rsidR="00527E8D">
              <w:rPr>
                <w:rFonts w:asciiTheme="minorHAnsi" w:hAnsiTheme="minorHAnsi"/>
                <w:sz w:val="17"/>
                <w:szCs w:val="17"/>
              </w:rPr>
              <w:t>del 100%</w:t>
            </w:r>
            <w:r w:rsidRPr="00E5363D">
              <w:rPr>
                <w:rFonts w:asciiTheme="minorHAnsi" w:hAnsiTheme="minorHAnsi"/>
                <w:sz w:val="17"/>
                <w:szCs w:val="17"/>
              </w:rPr>
              <w:t xml:space="preserve"> de los insumos ofe</w:t>
            </w:r>
            <w:r w:rsidR="00527E8D">
              <w:rPr>
                <w:rFonts w:asciiTheme="minorHAnsi" w:hAnsiTheme="minorHAnsi"/>
                <w:sz w:val="17"/>
                <w:szCs w:val="17"/>
              </w:rPr>
              <w:t>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9771F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00324414" w:rsidRPr="00324414">
              <w:rPr>
                <w:rFonts w:asciiTheme="minorHAnsi" w:hAnsiTheme="minorHAnsi" w:cs="Arial"/>
                <w:sz w:val="17"/>
                <w:szCs w:val="17"/>
              </w:rPr>
              <w:t xml:space="preserve"> publicada en el DOF el 2</w:t>
            </w:r>
            <w:r w:rsidR="009771F3">
              <w:rPr>
                <w:rFonts w:asciiTheme="minorHAnsi" w:hAnsiTheme="minorHAnsi" w:cs="Arial"/>
                <w:sz w:val="17"/>
                <w:szCs w:val="17"/>
              </w:rPr>
              <w:t>2</w:t>
            </w:r>
            <w:r w:rsidR="00324414" w:rsidRPr="00324414">
              <w:rPr>
                <w:rFonts w:asciiTheme="minorHAnsi" w:hAnsiTheme="minorHAnsi" w:cs="Arial"/>
                <w:sz w:val="17"/>
                <w:szCs w:val="17"/>
              </w:rPr>
              <w:t xml:space="preserve"> de Diciembre de 201</w:t>
            </w:r>
            <w:r w:rsidR="009771F3">
              <w:rPr>
                <w:rFonts w:asciiTheme="minorHAnsi" w:hAnsiTheme="minorHAnsi" w:cs="Arial"/>
                <w:sz w:val="17"/>
                <w:szCs w:val="17"/>
              </w:rPr>
              <w:t>7</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E5363D">
              <w:rPr>
                <w:rFonts w:asciiTheme="minorHAnsi" w:hAnsiTheme="minorHAns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27E8D">
              <w:rPr>
                <w:rFonts w:asciiTheme="minorHAnsi" w:hAnsiTheme="minorHAnsi" w:cstheme="minorHAnsi"/>
                <w:sz w:val="17"/>
                <w:szCs w:val="17"/>
                <w:lang w:val="es-MX"/>
              </w:rPr>
              <w:t>En caso de que no participen en propuestas conjuntas deberá manifestarlo por escrito bajo protesta de decir verdad.</w:t>
            </w:r>
            <w:r w:rsidR="00527E8D" w:rsidRPr="00527E8D">
              <w:rPr>
                <w:rFonts w:asciiTheme="minorHAnsi" w:hAnsiTheme="minorHAnsi" w:cstheme="minorHAnsi"/>
                <w:sz w:val="17"/>
                <w:szCs w:val="17"/>
                <w:lang w:val="es-MX"/>
              </w:rPr>
              <w:t xml:space="preserve"> </w:t>
            </w:r>
            <w:proofErr w:type="gramStart"/>
            <w:r w:rsidR="00527E8D" w:rsidRPr="00527E8D">
              <w:rPr>
                <w:rFonts w:asciiTheme="minorHAnsi" w:hAnsiTheme="minorHAnsi" w:cstheme="minorHAnsi"/>
                <w:sz w:val="17"/>
                <w:szCs w:val="17"/>
                <w:lang w:val="es-MX"/>
              </w:rPr>
              <w:t>la</w:t>
            </w:r>
            <w:proofErr w:type="gramEnd"/>
            <w:r w:rsidR="00527E8D" w:rsidRPr="00527E8D">
              <w:rPr>
                <w:rFonts w:asciiTheme="minorHAnsi" w:hAnsiTheme="minorHAnsi" w:cstheme="minorHAnsi"/>
                <w:sz w:val="17"/>
                <w:szCs w:val="17"/>
                <w:lang w:val="es-MX"/>
              </w:rPr>
              <w:t xml:space="preserve"> falta de presentación de este documento no afecta la solvencia de la proposición</w:t>
            </w:r>
            <w:r w:rsidR="00527E8D">
              <w:rPr>
                <w:rFonts w:asciiTheme="minorHAnsi" w:hAnsiTheme="minorHAnsi" w:cstheme="minorHAnsi"/>
                <w:sz w:val="17"/>
                <w:szCs w:val="17"/>
                <w:lang w:val="es-MX"/>
              </w:rPr>
              <w:t>.</w:t>
            </w:r>
            <w:r w:rsidR="00527E8D">
              <w:rPr>
                <w:rFonts w:asciiTheme="minorHAnsi" w:hAnsiTheme="minorHAnsi" w:cstheme="minorHAnsi"/>
                <w:sz w:val="17"/>
                <w:szCs w:val="17"/>
              </w:rPr>
              <w:t xml:space="preserve">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LP-919044992-I26-2018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LP-919044992-I26-2018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MATERIAL DE CURACIÓN PARA EL HOSPITAL METROPOLITANO “DR. BERNARDO SEPÚLVEDA”</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010D05">
        <w:rPr>
          <w:rFonts w:asciiTheme="minorHAnsi" w:hAnsiTheme="minorHAnsi" w:cs="Arial"/>
          <w:sz w:val="14"/>
          <w:szCs w:val="14"/>
        </w:rPr>
        <w:t>LP-919044992-I26-2018</w:t>
      </w:r>
      <w:r w:rsidRPr="00192B2D">
        <w:rPr>
          <w:rFonts w:asciiTheme="minorHAnsi" w:hAnsiTheme="minorHAnsi" w:cs="Arial"/>
          <w:sz w:val="14"/>
          <w:szCs w:val="14"/>
        </w:rPr>
        <w:t xml:space="preserve"> para la adquisición de </w:t>
      </w:r>
      <w:r w:rsidR="00010D05">
        <w:rPr>
          <w:rFonts w:asciiTheme="minorHAnsi" w:hAnsiTheme="minorHAnsi" w:cs="Arial"/>
          <w:sz w:val="14"/>
          <w:szCs w:val="14"/>
        </w:rPr>
        <w:t>“MATERIAL DE CURACIÓN ”</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010D05">
        <w:rPr>
          <w:rFonts w:ascii="Calibri" w:hAnsi="Calibri" w:cs="Tahoma"/>
          <w:sz w:val="14"/>
          <w:szCs w:val="14"/>
        </w:rPr>
        <w:t>LP-919044992-I26-2018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CC" w:rsidRDefault="006E78CC" w:rsidP="007F0B73">
      <w:r>
        <w:separator/>
      </w:r>
    </w:p>
  </w:endnote>
  <w:endnote w:type="continuationSeparator" w:id="0">
    <w:p w:rsidR="006E78CC" w:rsidRDefault="006E78C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A6C18" w:rsidRPr="00CE2E1F" w:rsidRDefault="00AA6C18" w:rsidP="004C675C">
        <w:pPr>
          <w:pStyle w:val="Piedepgina"/>
          <w:jc w:val="center"/>
          <w:rPr>
            <w:b/>
            <w:color w:val="009999"/>
          </w:rPr>
        </w:pPr>
        <w:r>
          <w:rPr>
            <w:color w:val="009999"/>
          </w:rPr>
          <w:t>_____________________________________________________________________________________________________</w:t>
        </w:r>
      </w:p>
      <w:p w:rsidR="00AA6C18" w:rsidRDefault="00AA6C18" w:rsidP="004C675C">
        <w:pPr>
          <w:pStyle w:val="Piedepgina"/>
          <w:ind w:right="-232" w:hanging="284"/>
          <w:jc w:val="center"/>
          <w:rPr>
            <w:rFonts w:ascii="Century Gothic" w:hAnsi="Century Gothic"/>
            <w:b/>
            <w:color w:val="009999"/>
            <w:sz w:val="18"/>
            <w:szCs w:val="14"/>
          </w:rPr>
        </w:pPr>
      </w:p>
      <w:p w:rsidR="00AA6C18" w:rsidRPr="00CE2E1F" w:rsidRDefault="00AA6C1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AA6C18" w:rsidRPr="00CE2E1F" w:rsidRDefault="00AA6C18" w:rsidP="004C675C">
        <w:pPr>
          <w:pStyle w:val="Piedepgina"/>
          <w:jc w:val="center"/>
          <w:rPr>
            <w:b/>
            <w:color w:val="009999"/>
            <w:szCs w:val="16"/>
          </w:rPr>
        </w:pPr>
        <w:r>
          <w:rPr>
            <w:rFonts w:ascii="Century Gothic" w:hAnsi="Century Gothic"/>
            <w:b/>
            <w:color w:val="009999"/>
            <w:sz w:val="18"/>
            <w:szCs w:val="16"/>
          </w:rPr>
          <w:t>No. LP-919044992-I26-2018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D07A1">
                  <w:rPr>
                    <w:rFonts w:ascii="Century Gothic" w:hAnsi="Century Gothic"/>
                    <w:b/>
                    <w:noProof/>
                    <w:color w:val="009999"/>
                    <w:sz w:val="18"/>
                    <w:szCs w:val="16"/>
                  </w:rPr>
                  <w:t>32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D07A1">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AA6C18" w:rsidRPr="00CE2E1F" w:rsidRDefault="00AA6C18" w:rsidP="004C675C">
        <w:pPr>
          <w:pStyle w:val="Piedepgina"/>
          <w:jc w:val="center"/>
          <w:rPr>
            <w:b/>
            <w:color w:val="009999"/>
          </w:rPr>
        </w:pPr>
      </w:p>
    </w:sdtContent>
  </w:sdt>
  <w:p w:rsidR="00AA6C18" w:rsidRPr="004C675C" w:rsidRDefault="00AA6C18" w:rsidP="004C675C">
    <w:pPr>
      <w:pStyle w:val="Piedepgina"/>
    </w:pPr>
  </w:p>
  <w:p w:rsidR="00AA6C18" w:rsidRDefault="00AA6C18"/>
  <w:p w:rsidR="00AA6C18" w:rsidRDefault="00AA6C18"/>
  <w:p w:rsidR="00AA6C18" w:rsidRDefault="00AA6C18"/>
  <w:p w:rsidR="00AA6C18" w:rsidRDefault="00AA6C18"/>
  <w:p w:rsidR="00AA6C18" w:rsidRDefault="00AA6C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CC" w:rsidRDefault="006E78CC" w:rsidP="007F0B73">
      <w:r>
        <w:separator/>
      </w:r>
    </w:p>
  </w:footnote>
  <w:footnote w:type="continuationSeparator" w:id="0">
    <w:p w:rsidR="006E78CC" w:rsidRDefault="006E78C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18" w:rsidRPr="00C765F1" w:rsidRDefault="00AA6C1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A6C18" w:rsidRPr="00C765F1" w:rsidRDefault="00AA6C18" w:rsidP="00313C66">
    <w:pPr>
      <w:jc w:val="center"/>
      <w:rPr>
        <w:rFonts w:ascii="Corbel" w:hAnsi="Corbel"/>
        <w:b/>
        <w:szCs w:val="16"/>
      </w:rPr>
    </w:pPr>
    <w:r w:rsidRPr="00C765F1">
      <w:rPr>
        <w:rFonts w:ascii="Corbel" w:hAnsi="Corbel"/>
        <w:b/>
        <w:szCs w:val="16"/>
      </w:rPr>
      <w:t>SERVICIOS DE SALUD DE NUEVO LEÓN</w:t>
    </w:r>
  </w:p>
  <w:p w:rsidR="00AA6C18" w:rsidRPr="00180FA7" w:rsidRDefault="00AA6C1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A6C18" w:rsidRDefault="00AA6C18"/>
  <w:p w:rsidR="00AA6C18" w:rsidRDefault="00AA6C18"/>
  <w:p w:rsidR="00AA6C18" w:rsidRDefault="00AA6C18"/>
  <w:p w:rsidR="00AA6C18" w:rsidRDefault="00AA6C18"/>
  <w:p w:rsidR="00AA6C18" w:rsidRDefault="00AA6C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5"/>
  </w:num>
  <w:num w:numId="21">
    <w:abstractNumId w:val="8"/>
  </w:num>
  <w:num w:numId="22">
    <w:abstractNumId w:val="24"/>
  </w:num>
  <w:num w:numId="23">
    <w:abstractNumId w:val="34"/>
  </w:num>
  <w:num w:numId="24">
    <w:abstractNumId w:val="22"/>
  </w:num>
  <w:num w:numId="25">
    <w:abstractNumId w:val="32"/>
  </w:num>
  <w:num w:numId="26">
    <w:abstractNumId w:val="13"/>
  </w:num>
  <w:num w:numId="27">
    <w:abstractNumId w:val="18"/>
  </w:num>
  <w:num w:numId="28">
    <w:abstractNumId w:val="27"/>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0D05"/>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767F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1AB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27E8D"/>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009F1"/>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07A1"/>
    <w:rsid w:val="006D61E7"/>
    <w:rsid w:val="006E0108"/>
    <w:rsid w:val="006E031A"/>
    <w:rsid w:val="006E2D38"/>
    <w:rsid w:val="006E5452"/>
    <w:rsid w:val="006E5523"/>
    <w:rsid w:val="006E6D30"/>
    <w:rsid w:val="006E6DB1"/>
    <w:rsid w:val="006E78CC"/>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20DD"/>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0EDE"/>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A6C18"/>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7464F"/>
    <w:rsid w:val="00B82FB5"/>
    <w:rsid w:val="00B906DD"/>
    <w:rsid w:val="00B911FB"/>
    <w:rsid w:val="00BA09CD"/>
    <w:rsid w:val="00BA3EA1"/>
    <w:rsid w:val="00BA573C"/>
    <w:rsid w:val="00BA5A6C"/>
    <w:rsid w:val="00BA6858"/>
    <w:rsid w:val="00BA7798"/>
    <w:rsid w:val="00BB026D"/>
    <w:rsid w:val="00BB2189"/>
    <w:rsid w:val="00BB31B6"/>
    <w:rsid w:val="00BB4DDA"/>
    <w:rsid w:val="00BC03E6"/>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374E"/>
    <w:rsid w:val="00CB4CB1"/>
    <w:rsid w:val="00CC0600"/>
    <w:rsid w:val="00CD34F3"/>
    <w:rsid w:val="00CD58F7"/>
    <w:rsid w:val="00CD7E44"/>
    <w:rsid w:val="00CE28F7"/>
    <w:rsid w:val="00CE2E1F"/>
    <w:rsid w:val="00CE2F46"/>
    <w:rsid w:val="00CE6525"/>
    <w:rsid w:val="00CF1E88"/>
    <w:rsid w:val="00CF45BB"/>
    <w:rsid w:val="00D00DD5"/>
    <w:rsid w:val="00D06E47"/>
    <w:rsid w:val="00D14A6E"/>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948">
      <w:bodyDiv w:val="1"/>
      <w:marLeft w:val="0"/>
      <w:marRight w:val="0"/>
      <w:marTop w:val="0"/>
      <w:marBottom w:val="0"/>
      <w:divBdr>
        <w:top w:val="none" w:sz="0" w:space="0" w:color="auto"/>
        <w:left w:val="none" w:sz="0" w:space="0" w:color="auto"/>
        <w:bottom w:val="none" w:sz="0" w:space="0" w:color="auto"/>
        <w:right w:val="none" w:sz="0" w:space="0" w:color="auto"/>
      </w:divBdr>
    </w:div>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14979247">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C596-40D4-4E4D-8DD4-592D0B8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20928</Words>
  <Characters>115109</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2015-12-07T18:43:00Z</cp:lastPrinted>
  <dcterms:created xsi:type="dcterms:W3CDTF">2018-07-03T18:56:00Z</dcterms:created>
  <dcterms:modified xsi:type="dcterms:W3CDTF">2018-07-04T16:19:00Z</dcterms:modified>
</cp:coreProperties>
</file>