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bookmarkStart w:id="0" w:name="_GoBack"/>
      <w:bookmarkEnd w:id="0"/>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51B1C">
        <w:rPr>
          <w:rFonts w:ascii="Meiryo" w:eastAsia="Meiryo" w:hAnsi="Meiryo" w:cs="Meiryo"/>
          <w:color w:val="33CCCC"/>
          <w:sz w:val="28"/>
          <w:szCs w:val="28"/>
          <w:lang w:val="es-ES" w:eastAsia="en-US"/>
        </w:rPr>
        <w:t>N62-2017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14267">
        <w:rPr>
          <w:rFonts w:ascii="Arial Black" w:hAnsi="Arial Black"/>
          <w:b/>
          <w:color w:val="33CCCC"/>
          <w:sz w:val="36"/>
          <w:szCs w:val="28"/>
        </w:rPr>
        <w:t>SUMINISTRO DE GASES MEDICINALES PARA DIFERENTES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5F230B" w:rsidP="0061030C">
      <w:pPr>
        <w:jc w:val="center"/>
        <w:rPr>
          <w:rFonts w:asciiTheme="minorHAnsi" w:hAnsiTheme="minorHAnsi"/>
          <w:b/>
          <w:sz w:val="32"/>
        </w:rPr>
      </w:pPr>
      <w:r>
        <w:rPr>
          <w:rFonts w:asciiTheme="minorHAnsi" w:hAnsiTheme="minorHAnsi"/>
          <w:b/>
          <w:sz w:val="32"/>
        </w:rPr>
        <w:t>EJERCICIO FISCAL 2018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51B1C">
        <w:rPr>
          <w:rFonts w:asciiTheme="minorHAnsi" w:hAnsiTheme="minorHAnsi" w:cs="Arial"/>
        </w:rPr>
        <w:t>N62-2017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w:t>
      </w:r>
      <w:r w:rsidR="00DB2C65">
        <w:rPr>
          <w:rFonts w:asciiTheme="minorHAnsi" w:hAnsiTheme="minorHAnsi"/>
        </w:rPr>
        <w:t xml:space="preserve">de Licitación </w:t>
      </w:r>
      <w:r w:rsidR="001A0EBB">
        <w:rPr>
          <w:rFonts w:asciiTheme="minorHAnsi" w:hAnsiTheme="minorHAnsi"/>
        </w:rPr>
        <w:t>Pública</w:t>
      </w:r>
      <w:r w:rsidR="00DB2C65">
        <w:rPr>
          <w:rFonts w:asciiTheme="minorHAnsi" w:hAnsiTheme="minorHAnsi"/>
        </w:rPr>
        <w:t xml:space="preserve"> Nacional</w:t>
      </w:r>
      <w:r w:rsidR="001A0EBB">
        <w:rPr>
          <w:rFonts w:asciiTheme="minorHAnsi" w:hAnsiTheme="minorHAnsi"/>
        </w:rPr>
        <w:t xml:space="preserve">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Pr="00EC0FE3">
        <w:rPr>
          <w:rFonts w:asciiTheme="minorHAnsi" w:hAnsiTheme="minorHAnsi" w:cs="Arial"/>
        </w:rPr>
        <w:t>la Ley de Egresos para el año del 201</w:t>
      </w:r>
      <w:r w:rsidR="00EC0FE3" w:rsidRPr="00EC0FE3">
        <w:rPr>
          <w:rFonts w:asciiTheme="minorHAnsi" w:hAnsiTheme="minorHAnsi" w:cs="Arial"/>
        </w:rPr>
        <w:t>7</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B51B1C">
        <w:rPr>
          <w:rFonts w:asciiTheme="minorHAnsi" w:hAnsiTheme="minorHAnsi" w:cs="Arial"/>
        </w:rPr>
        <w:t>N62-2017</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51B1C">
        <w:rPr>
          <w:rFonts w:asciiTheme="minorHAnsi" w:hAnsiTheme="minorHAnsi" w:cs="Arial"/>
        </w:rPr>
        <w:t>N62-2017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F230B">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C0FE3" w:rsidRDefault="00644EBE" w:rsidP="003C7CE4">
      <w:pPr>
        <w:pStyle w:val="Prrafodelista"/>
        <w:numPr>
          <w:ilvl w:val="0"/>
          <w:numId w:val="9"/>
        </w:numPr>
        <w:tabs>
          <w:tab w:val="left" w:pos="284"/>
        </w:tabs>
        <w:ind w:right="51"/>
        <w:jc w:val="both"/>
        <w:rPr>
          <w:rFonts w:asciiTheme="minorHAnsi" w:hAnsiTheme="minorHAnsi" w:cs="Arial"/>
        </w:rPr>
      </w:pPr>
      <w:r w:rsidRPr="00EC0FE3">
        <w:rPr>
          <w:rFonts w:asciiTheme="minorHAnsi" w:hAnsiTheme="minorHAnsi" w:cs="Arial"/>
        </w:rPr>
        <w:t xml:space="preserve">El </w:t>
      </w:r>
      <w:r w:rsidR="009A4F2F" w:rsidRPr="00EC0FE3">
        <w:rPr>
          <w:rFonts w:asciiTheme="minorHAnsi" w:hAnsiTheme="minorHAnsi" w:cs="Arial"/>
        </w:rPr>
        <w:t xml:space="preserve">Suministro de Gases Medicinales </w:t>
      </w:r>
      <w:r w:rsidR="00B64229" w:rsidRPr="00EC0FE3">
        <w:rPr>
          <w:rFonts w:asciiTheme="minorHAnsi" w:hAnsiTheme="minorHAnsi" w:cs="Arial"/>
        </w:rPr>
        <w:t xml:space="preserve">requerido por </w:t>
      </w:r>
      <w:r w:rsidR="00955C15" w:rsidRPr="00EC0FE3">
        <w:rPr>
          <w:rFonts w:asciiTheme="minorHAnsi" w:hAnsiTheme="minorHAnsi" w:cs="Arial"/>
        </w:rPr>
        <w:t>l</w:t>
      </w:r>
      <w:r w:rsidR="00B64229" w:rsidRPr="00EC0FE3">
        <w:rPr>
          <w:rFonts w:asciiTheme="minorHAnsi" w:hAnsiTheme="minorHAnsi" w:cs="Arial"/>
        </w:rPr>
        <w:t xml:space="preserve">a </w:t>
      </w:r>
      <w:r w:rsidR="00B64229" w:rsidRPr="00EC0FE3">
        <w:rPr>
          <w:rFonts w:asciiTheme="minorHAnsi" w:hAnsiTheme="minorHAnsi" w:cs="Arial"/>
          <w:bCs/>
        </w:rPr>
        <w:t>C</w:t>
      </w:r>
      <w:r w:rsidR="00B64229" w:rsidRPr="00EC0FE3">
        <w:rPr>
          <w:rFonts w:asciiTheme="minorHAnsi" w:hAnsiTheme="minorHAnsi" w:cs="Arial"/>
        </w:rPr>
        <w:t>onvocante</w:t>
      </w:r>
      <w:r w:rsidR="00B64229" w:rsidRPr="00EC0FE3">
        <w:rPr>
          <w:rFonts w:asciiTheme="minorHAnsi" w:hAnsiTheme="minorHAnsi" w:cs="Arial"/>
          <w:b/>
        </w:rPr>
        <w:t xml:space="preserve">, </w:t>
      </w:r>
      <w:r w:rsidR="00B64229" w:rsidRPr="00EC0FE3">
        <w:rPr>
          <w:rFonts w:asciiTheme="minorHAnsi" w:hAnsiTheme="minorHAnsi" w:cs="Arial"/>
        </w:rPr>
        <w:t>se realizará con recursos del tipo de presupuesto 110101 FASSA</w:t>
      </w:r>
      <w:r w:rsidR="00EC0FE3" w:rsidRPr="00EC0FE3">
        <w:rPr>
          <w:rFonts w:asciiTheme="minorHAnsi" w:hAnsiTheme="minorHAnsi" w:cs="Arial"/>
        </w:rPr>
        <w:t xml:space="preserve"> </w:t>
      </w:r>
      <w:r w:rsidR="00955C15" w:rsidRPr="00EC0FE3">
        <w:rPr>
          <w:rFonts w:asciiTheme="minorHAnsi" w:hAnsiTheme="minorHAnsi" w:cs="Arial"/>
        </w:rPr>
        <w:t>,</w:t>
      </w:r>
      <w:r w:rsidR="00B64229" w:rsidRPr="00EC0FE3">
        <w:rPr>
          <w:rFonts w:asciiTheme="minorHAnsi" w:hAnsiTheme="minorHAnsi" w:cs="Arial"/>
        </w:rPr>
        <w:t xml:space="preserve"> Programa </w:t>
      </w:r>
      <w:r w:rsidR="00A91686" w:rsidRPr="00EC0FE3">
        <w:rPr>
          <w:rFonts w:asciiTheme="minorHAnsi" w:hAnsiTheme="minorHAnsi" w:cs="Arial"/>
        </w:rPr>
        <w:t>020508</w:t>
      </w:r>
      <w:r w:rsidR="00955C15" w:rsidRPr="00EC0FE3">
        <w:rPr>
          <w:rFonts w:asciiTheme="minorHAnsi" w:hAnsiTheme="minorHAnsi" w:cs="Arial"/>
        </w:rPr>
        <w:t>, 191608,</w:t>
      </w:r>
      <w:r w:rsidR="00A91686" w:rsidRPr="00EC0FE3">
        <w:rPr>
          <w:rFonts w:asciiTheme="minorHAnsi" w:hAnsiTheme="minorHAnsi" w:cs="Arial"/>
        </w:rPr>
        <w:t xml:space="preserve"> </w:t>
      </w:r>
      <w:r w:rsidR="001C24ED" w:rsidRPr="00EC0FE3">
        <w:rPr>
          <w:rFonts w:asciiTheme="minorHAnsi" w:hAnsiTheme="minorHAnsi" w:cs="Arial"/>
        </w:rPr>
        <w:t xml:space="preserve">201608, </w:t>
      </w:r>
      <w:r w:rsidR="00955C15" w:rsidRPr="00EC0FE3">
        <w:rPr>
          <w:rFonts w:asciiTheme="minorHAnsi" w:hAnsiTheme="minorHAnsi" w:cs="Arial"/>
        </w:rPr>
        <w:t xml:space="preserve">210508, 220508, 240508, 250508, </w:t>
      </w:r>
      <w:r w:rsidR="001C24ED" w:rsidRPr="00EC0FE3">
        <w:rPr>
          <w:rFonts w:asciiTheme="minorHAnsi" w:hAnsiTheme="minorHAnsi" w:cs="Arial"/>
        </w:rPr>
        <w:t>360508, 370508</w:t>
      </w:r>
      <w:r w:rsidR="00955C15" w:rsidRPr="00EC0FE3">
        <w:rPr>
          <w:rFonts w:asciiTheme="minorHAnsi" w:hAnsiTheme="minorHAnsi" w:cs="Arial"/>
        </w:rPr>
        <w:t>,</w:t>
      </w:r>
      <w:r w:rsidR="00A91686" w:rsidRPr="00EC0FE3">
        <w:rPr>
          <w:rFonts w:asciiTheme="minorHAnsi" w:hAnsiTheme="minorHAnsi" w:cs="Arial"/>
        </w:rPr>
        <w:t xml:space="preserve"> </w:t>
      </w:r>
      <w:r w:rsidR="001C24ED" w:rsidRPr="00EC0FE3">
        <w:rPr>
          <w:rFonts w:asciiTheme="minorHAnsi" w:hAnsiTheme="minorHAnsi" w:cs="Arial"/>
        </w:rPr>
        <w:t xml:space="preserve">381508, 390508, </w:t>
      </w:r>
      <w:r w:rsidR="005272F7" w:rsidRPr="00EC0FE3">
        <w:rPr>
          <w:rFonts w:asciiTheme="minorHAnsi" w:hAnsiTheme="minorHAnsi" w:cs="Arial"/>
        </w:rPr>
        <w:t xml:space="preserve">460708, </w:t>
      </w:r>
      <w:r w:rsidR="00955C15" w:rsidRPr="00EC0FE3">
        <w:rPr>
          <w:rFonts w:asciiTheme="minorHAnsi" w:hAnsiTheme="minorHAnsi" w:cs="Arial"/>
        </w:rPr>
        <w:t>CI0508, NM0508 Y RN0508,</w:t>
      </w:r>
      <w:r w:rsidR="00B64229" w:rsidRPr="00EC0FE3">
        <w:rPr>
          <w:rFonts w:asciiTheme="minorHAnsi" w:hAnsiTheme="minorHAnsi" w:cs="Arial"/>
        </w:rPr>
        <w:t xml:space="preserve"> Partida </w:t>
      </w:r>
      <w:r w:rsidR="00A91686" w:rsidRPr="00EC0FE3">
        <w:rPr>
          <w:rFonts w:asciiTheme="minorHAnsi" w:hAnsiTheme="minorHAnsi" w:cs="Arial"/>
        </w:rPr>
        <w:t>25301</w:t>
      </w:r>
      <w:r w:rsidR="001A0EBB" w:rsidRPr="00EC0FE3">
        <w:rPr>
          <w:rFonts w:asciiTheme="minorHAnsi" w:hAnsiTheme="minorHAnsi" w:cs="Arial"/>
        </w:rPr>
        <w:t xml:space="preserve"> y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suministro deberá ser de</w:t>
      </w:r>
      <w:r w:rsidR="00A41739">
        <w:rPr>
          <w:rFonts w:asciiTheme="minorHAnsi" w:hAnsiTheme="minorHAnsi"/>
        </w:rPr>
        <w:t xml:space="preserve"> Lunes a s</w:t>
      </w:r>
      <w:r w:rsidRPr="004B3FCD">
        <w:rPr>
          <w:rFonts w:asciiTheme="minorHAnsi" w:hAnsiTheme="minorHAnsi"/>
        </w:rPr>
        <w:t>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ind w:left="1134"/>
        <w:jc w:val="both"/>
        <w:rPr>
          <w:rFonts w:asciiTheme="minorHAnsi" w:hAnsiTheme="minorHAnsi" w:cs="Arial"/>
          <w:b/>
          <w:bCs/>
          <w:i/>
          <w:iCs/>
          <w:kern w:val="24"/>
          <w:szCs w:val="24"/>
          <w:lang w:val="es-ES" w:eastAsia="es-MX"/>
        </w:rPr>
      </w:pP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LICUADOS. ESPECIFICACIONES PARA EL DISEÑO Y CONSTRUCCIÓN</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CILINDROS DE ACERO SIN SOLDADURA RELLENABLES CON GAS,</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Pharmacopeia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w:t>
      </w:r>
      <w:r w:rsidR="00EF2AB1">
        <w:rPr>
          <w:rFonts w:asciiTheme="minorHAnsi" w:hAnsiTheme="minorHAnsi"/>
        </w:rPr>
        <w:t xml:space="preserve">Calle </w:t>
      </w:r>
      <w:r w:rsidRPr="004B3FCD">
        <w:rPr>
          <w:rFonts w:asciiTheme="minorHAnsi" w:hAnsiTheme="minorHAnsi"/>
        </w:rPr>
        <w:t xml:space="preserve">Matamoros No. 520 Ote,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87150B" w:rsidRPr="0083310D">
        <w:rPr>
          <w:rFonts w:asciiTheme="minorHAnsi" w:hAnsiTheme="minorHAnsi" w:cstheme="minorHAnsi"/>
        </w:rPr>
        <w:t>1</w:t>
      </w:r>
      <w:r w:rsidR="00B81B08" w:rsidRPr="0083310D">
        <w:rPr>
          <w:rFonts w:asciiTheme="minorHAnsi" w:hAnsiTheme="minorHAnsi" w:cstheme="minorHAnsi"/>
        </w:rPr>
        <w:t xml:space="preserve"> </w:t>
      </w:r>
      <w:r w:rsidRPr="0083310D">
        <w:rPr>
          <w:rFonts w:asciiTheme="minorHAnsi" w:hAnsiTheme="minorHAnsi" w:cstheme="minorHAnsi"/>
        </w:rPr>
        <w:t xml:space="preserve">de </w:t>
      </w:r>
      <w:r w:rsidR="00643C8B" w:rsidRPr="0083310D">
        <w:rPr>
          <w:rFonts w:asciiTheme="minorHAnsi" w:hAnsiTheme="minorHAnsi" w:cstheme="minorHAnsi"/>
        </w:rPr>
        <w:t>Febrero</w:t>
      </w:r>
      <w:r w:rsidRPr="0083310D">
        <w:rPr>
          <w:rFonts w:asciiTheme="minorHAnsi" w:hAnsiTheme="minorHAnsi" w:cstheme="minorHAnsi"/>
        </w:rPr>
        <w:t xml:space="preserve"> del 201</w:t>
      </w:r>
      <w:r w:rsidR="00A41739" w:rsidRPr="0083310D">
        <w:rPr>
          <w:rFonts w:asciiTheme="minorHAnsi" w:hAnsiTheme="minorHAnsi" w:cstheme="minorHAnsi"/>
        </w:rPr>
        <w:t>7 al 31 de Diciembre del 2017</w:t>
      </w:r>
      <w:r w:rsidR="004B3FCD" w:rsidRPr="0083310D">
        <w:rPr>
          <w:rFonts w:asciiTheme="minorHAnsi" w:hAnsiTheme="minorHAnsi" w:cstheme="minorHAnsi"/>
        </w:rPr>
        <w:t>.</w:t>
      </w:r>
    </w:p>
    <w:p w:rsidR="00203F50" w:rsidRPr="00203F50" w:rsidRDefault="004B3FCD" w:rsidP="00203F50">
      <w:pPr>
        <w:tabs>
          <w:tab w:val="left" w:pos="851"/>
        </w:tabs>
        <w:ind w:left="709" w:right="-1"/>
        <w:jc w:val="both"/>
        <w:rPr>
          <w:rFonts w:asciiTheme="minorHAnsi" w:hAnsiTheme="minorHAnsi"/>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w:t>
      </w:r>
      <w:smartTag w:uri="urn:schemas-microsoft-com:office:smarttags" w:element="PersonName">
        <w:smartTagPr>
          <w:attr w:name="ProductID" w:val="la Convocante"/>
        </w:smartTagPr>
        <w:r w:rsidRPr="00933613">
          <w:rPr>
            <w:rFonts w:asciiTheme="minorHAnsi" w:hAnsiTheme="minorHAnsi" w:cs="Arial"/>
          </w:rPr>
          <w:t xml:space="preserve">la </w:t>
        </w:r>
        <w:r w:rsidRPr="00933613">
          <w:rPr>
            <w:rFonts w:asciiTheme="minorHAnsi" w:hAnsiTheme="minorHAnsi" w:cs="Arial"/>
            <w:b/>
          </w:rPr>
          <w:t>Convocante</w:t>
        </w:r>
      </w:smartTag>
      <w:r w:rsidRPr="00933613">
        <w:rPr>
          <w:rFonts w:asciiTheme="minorHAnsi" w:hAnsiTheme="minorHAnsi" w:cs="Arial"/>
        </w:rPr>
        <w:t xml:space="preserve"> no otorgará prórroga alguna en caso de retraso.</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lastRenderedPageBreak/>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Dr. Cornelio González Ramos No. 400, Libramiento Carretera Monterrey-Miguel Alemán en Cerralvo, Nuevo León C.P. 65900.</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Amel Barocio y Panamá, Barrio Zaragoza, Montemorelos, N. L.</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Álamo y Naranjo s/n, Col. Provileón Linares,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Isabel la Católica No. 110, Fracc. Centro, Monterrey, N.L., C.P. 64720.</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4871CF">
        <w:trPr>
          <w:trHeight w:val="71"/>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Almazán y Rodrigo Gomez , Col. Francisco I. Madero C.P. 64249</w:t>
            </w:r>
          </w:p>
        </w:tc>
      </w:tr>
      <w:tr w:rsidR="00221835"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UNEME Unidad de Urgencias Medicas</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Paseo Mar</w:t>
            </w:r>
            <w:r w:rsidR="00A41739">
              <w:rPr>
                <w:rFonts w:ascii="Century Gothic" w:hAnsi="Century Gothic"/>
                <w:sz w:val="16"/>
                <w:szCs w:val="16"/>
              </w:rPr>
              <w:t>í</w:t>
            </w:r>
            <w:r>
              <w:rPr>
                <w:rFonts w:ascii="Century Gothic" w:hAnsi="Century Gothic"/>
                <w:sz w:val="16"/>
                <w:szCs w:val="16"/>
              </w:rPr>
              <w:t>a Luis sur no. ext. s/n  Col. Bosques de las Lomas C.P. 67324</w:t>
            </w:r>
          </w:p>
        </w:tc>
      </w:tr>
    </w:tbl>
    <w:p w:rsidR="00095E6C" w:rsidRDefault="00095E6C" w:rsidP="00A1692B">
      <w:pPr>
        <w:ind w:right="-1"/>
        <w:jc w:val="both"/>
        <w:rPr>
          <w:rFonts w:asciiTheme="minorHAnsi" w:hAnsiTheme="minorHAnsi" w:cs="Arial"/>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Thermo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Thermo Dewar (</w:t>
      </w:r>
      <w:r w:rsidRPr="00933613">
        <w:rPr>
          <w:rFonts w:asciiTheme="minorHAnsi" w:hAnsiTheme="minorHAnsi" w:cs="Arial"/>
          <w:szCs w:val="24"/>
          <w:lang w:val="es-ES"/>
        </w:rPr>
        <w:t>PGS, Permacyl y Microbulk</w:t>
      </w:r>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Cilindros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Pr="00933613" w:rsidRDefault="005D5F60" w:rsidP="005D5F60">
      <w:pPr>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Recursos Materiales de la convocante.</w:t>
      </w:r>
    </w:p>
    <w:p w:rsidR="005D5F60" w:rsidRDefault="005D5F60" w:rsidP="005D5F60">
      <w:pPr>
        <w:suppressAutoHyphens/>
        <w:ind w:left="851"/>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hr. Siguientes a la petición inicial  y en los casos de otro tipo de gases el tiempo </w:t>
      </w:r>
      <w:r>
        <w:rPr>
          <w:rFonts w:asciiTheme="minorHAnsi" w:hAnsiTheme="minorHAnsi" w:cs="Arial"/>
          <w:kern w:val="24"/>
          <w:szCs w:val="24"/>
          <w:lang w:val="es-ES" w:eastAsia="es-MX"/>
        </w:rPr>
        <w:t>máximo de entrega será de 72 hr.</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Pr="000D135A"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r w:rsidRPr="000D135A">
              <w:rPr>
                <w:rFonts w:asciiTheme="minorHAnsi" w:hAnsiTheme="minorHAnsi"/>
                <w:b/>
              </w:rPr>
              <w:t>Manifold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 check.</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r w:rsidRPr="000D135A">
              <w:rPr>
                <w:rFonts w:asciiTheme="minorHAnsi" w:hAnsiTheme="minorHAnsi" w:cs="Arial"/>
                <w:b/>
                <w:bCs/>
                <w:szCs w:val="24"/>
                <w:lang w:val="es-ES"/>
              </w:rPr>
              <w:t>Manifold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Válvulas del manifold</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Válvulas checks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Presostato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En las unidades hospitalarias, el licitante que resulte adjudicado realizará la instalación de los tanques thermo cuantos sean necesarios para atender la demanda de almacenamiento, atendiendo las características requeridas para el servicio, debiendo de entrar en operación dichos tanques en un máximo de 24 hrs. posteriores a la petición, debiendo de prever el abastecimiento de oxigeno que requiera la unidad durante el período de instalación, sin que esto genere costos adicionales a los Servicios de Salud.</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y entregarlos como máximo a las 24 hrs. de la recepción de los mismos, en caso de los cilindros portátiles propiedad de la convocante, el plazo máximo de entrega será 48 hrs., con la finalidad de que se le apliquen a los cilindros las pruebas establecidas en las normas de calidad  correspondientes, y en caso de que los cilindros no cumplan con estas pruebas deberán de ser devueltos sin llenar, para que se proceda a su baja inmediata.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(thermo y cilindros), deberá realizarse en un plazo no mayor a 24 hrs.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5D5F60" w:rsidRPr="00933613" w:rsidRDefault="005D5F60" w:rsidP="005D5F60">
      <w:pPr>
        <w:jc w:val="both"/>
        <w:rPr>
          <w:rFonts w:asciiTheme="minorHAnsi" w:hAnsiTheme="minorHAnsi"/>
          <w:b/>
          <w:lang w:val="es-ES"/>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83310D" w:rsidRDefault="0083310D" w:rsidP="005D5F60">
      <w:pPr>
        <w:tabs>
          <w:tab w:val="right" w:pos="1276"/>
        </w:tabs>
        <w:ind w:left="426"/>
        <w:jc w:val="both"/>
        <w:rPr>
          <w:rFonts w:asciiTheme="minorHAnsi" w:hAnsiTheme="minorHAnsi"/>
        </w:rPr>
      </w:pPr>
    </w:p>
    <w:p w:rsidR="0083310D" w:rsidRDefault="0083310D" w:rsidP="005D5F60">
      <w:pPr>
        <w:tabs>
          <w:tab w:val="right" w:pos="1276"/>
        </w:tabs>
        <w:ind w:left="426"/>
        <w:jc w:val="both"/>
        <w:rPr>
          <w:rFonts w:asciiTheme="minorHAnsi" w:hAnsiTheme="minorHAnsi"/>
        </w:rPr>
      </w:pPr>
    </w:p>
    <w:p w:rsidR="0083310D" w:rsidRDefault="0083310D"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851"/>
          <w:tab w:val="right" w:pos="1276"/>
        </w:tabs>
        <w:ind w:left="426" w:right="49"/>
        <w:jc w:val="both"/>
        <w:rPr>
          <w:rFonts w:asciiTheme="minorHAnsi" w:hAnsiTheme="minorHAnsi"/>
        </w:rPr>
      </w:pP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lastRenderedPageBreak/>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Copia de los registros sanitarios vigentes del Óxido Nitroso y del Oxígeno.</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343E41" w:rsidP="005352EF">
      <w:pPr>
        <w:pStyle w:val="Prrafodelista"/>
        <w:numPr>
          <w:ilvl w:val="0"/>
          <w:numId w:val="8"/>
        </w:numPr>
        <w:jc w:val="both"/>
        <w:rPr>
          <w:rFonts w:asciiTheme="minorHAnsi" w:hAnsiTheme="minorHAnsi" w:cs="Arial"/>
          <w:kern w:val="24"/>
          <w:szCs w:val="24"/>
          <w:lang w:eastAsia="es-MX"/>
        </w:rPr>
      </w:pPr>
      <w:r>
        <w:rPr>
          <w:rFonts w:asciiTheme="minorHAnsi" w:hAnsiTheme="minorHAnsi" w:cs="Arial"/>
          <w:kern w:val="24"/>
          <w:szCs w:val="24"/>
          <w:lang w:eastAsia="es-MX"/>
        </w:rPr>
        <w:t>Escrito bajo protesta de decir verdad en el que manifieste</w:t>
      </w:r>
      <w:r w:rsidR="005352EF" w:rsidRPr="00933613">
        <w:rPr>
          <w:rFonts w:asciiTheme="minorHAnsi" w:hAnsiTheme="minorHAnsi" w:cs="Arial"/>
          <w:kern w:val="24"/>
          <w:szCs w:val="24"/>
          <w:lang w:eastAsia="es-MX"/>
        </w:rPr>
        <w:t xml:space="preserve"> que cumplen con las Norma</w:t>
      </w:r>
      <w:r w:rsidR="005352EF">
        <w:rPr>
          <w:rFonts w:asciiTheme="minorHAnsi" w:hAnsiTheme="minorHAnsi" w:cs="Arial"/>
          <w:kern w:val="24"/>
          <w:szCs w:val="24"/>
          <w:lang w:eastAsia="es-MX"/>
        </w:rPr>
        <w:t>s que se señalan en el punto 1.1.13</w:t>
      </w:r>
      <w:r w:rsidR="005352EF"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sidR="005352EF">
        <w:rPr>
          <w:rFonts w:asciiTheme="minorHAnsi" w:hAnsiTheme="minorHAnsi" w:cs="Arial"/>
          <w:kern w:val="24"/>
          <w:szCs w:val="24"/>
          <w:lang w:eastAsia="es-MX"/>
        </w:rPr>
        <w:t>rmas señaladas en el numeral 1.1.13</w:t>
      </w:r>
      <w:r w:rsidR="005352EF" w:rsidRPr="00933613">
        <w:rPr>
          <w:rFonts w:asciiTheme="minorHAnsi" w:hAnsiTheme="minorHAnsi" w:cs="Arial"/>
          <w:kern w:val="24"/>
          <w:szCs w:val="24"/>
          <w:lang w:eastAsia="es-MX"/>
        </w:rPr>
        <w:t>.</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Documento en que el indique la ubicación de las dos plantas criogénicas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lastRenderedPageBreak/>
        <w:t>P</w:t>
      </w:r>
      <w:r w:rsidRPr="00933613">
        <w:rPr>
          <w:rFonts w:asciiTheme="minorHAnsi" w:hAnsiTheme="minorHAnsi" w:cs="Arial"/>
          <w:kern w:val="24"/>
          <w:szCs w:val="24"/>
          <w:lang w:val="es-ES" w:eastAsia="es-MX"/>
        </w:rPr>
        <w:t>rograma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t xml:space="preserve">Cartas selladas y firmadas por 2 Administradores de las Unidades locales y 2 de las Unidades foráneas, a las que hace alusión el punto 1.2.1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266EEA" w:rsidRPr="00336407">
        <w:rPr>
          <w:rFonts w:asciiTheme="minorHAnsi" w:hAnsiTheme="minorHAnsi" w:cs="Arial"/>
        </w:rPr>
        <w:t>2.1.31 de la Miscelánea Fiscal para el Ejercicio 2017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EF2AB1">
        <w:rPr>
          <w:rFonts w:asciiTheme="minorHAnsi" w:hAnsiTheme="minorHAnsi" w:cstheme="minorHAnsi"/>
        </w:rPr>
        <w:t xml:space="preserve"> </w:t>
      </w:r>
      <w:r w:rsidR="00EF2AB1">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Si no se recibe propuesta alguna o todas las propuestas fueren desechadas, se declarará desierto el concurso, levantándose el acta correspondiente y en su caso, sé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5F230B" w:rsidRPr="005F230B" w:rsidRDefault="005F230B" w:rsidP="005F230B">
      <w:pPr>
        <w:jc w:val="both"/>
        <w:rPr>
          <w:rFonts w:ascii="Calibri" w:hAnsi="Calibri" w:cs="Arial"/>
          <w:iCs/>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r w:rsidRPr="005F230B">
        <w:rPr>
          <w:rFonts w:ascii="Calibri" w:hAnsi="Calibri" w:cs="Arial"/>
          <w:iCs/>
        </w:rPr>
        <w:t>.</w:t>
      </w:r>
    </w:p>
    <w:p w:rsidR="005F230B" w:rsidRDefault="005F230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011DA">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Pr="0039320A" w:rsidRDefault="00B011DA" w:rsidP="00B011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5F230B">
        <w:rPr>
          <w:rFonts w:asciiTheme="minorHAnsi" w:hAnsiTheme="minorHAnsi"/>
          <w:color w:val="auto"/>
          <w:sz w:val="20"/>
          <w:szCs w:val="20"/>
        </w:rPr>
        <w:t>4</w:t>
      </w:r>
      <w:r w:rsidR="0083310D" w:rsidRPr="0083310D">
        <w:rPr>
          <w:rFonts w:asciiTheme="minorHAnsi" w:hAnsiTheme="minorHAnsi"/>
          <w:color w:val="auto"/>
          <w:sz w:val="20"/>
          <w:szCs w:val="20"/>
        </w:rPr>
        <w:t xml:space="preserve"> de </w:t>
      </w:r>
      <w:r w:rsidR="005F230B">
        <w:rPr>
          <w:rFonts w:asciiTheme="minorHAnsi" w:hAnsiTheme="minorHAnsi"/>
          <w:color w:val="auto"/>
          <w:sz w:val="20"/>
          <w:szCs w:val="20"/>
        </w:rPr>
        <w:t>Diciembre</w:t>
      </w:r>
      <w:r w:rsidRPr="0083310D">
        <w:rPr>
          <w:rFonts w:asciiTheme="minorHAnsi" w:hAnsiTheme="minorHAnsi"/>
          <w:color w:val="auto"/>
          <w:sz w:val="20"/>
          <w:szCs w:val="20"/>
        </w:rPr>
        <w:t xml:space="preserve"> del 2017.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11"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83310D" w:rsidRPr="0083310D">
        <w:rPr>
          <w:rFonts w:asciiTheme="minorHAnsi" w:hAnsiTheme="minorHAnsi"/>
          <w:color w:val="auto"/>
          <w:sz w:val="20"/>
          <w:szCs w:val="20"/>
        </w:rPr>
        <w:t xml:space="preserve">el </w:t>
      </w:r>
      <w:r w:rsidR="001A1387">
        <w:rPr>
          <w:rFonts w:asciiTheme="minorHAnsi" w:hAnsiTheme="minorHAnsi"/>
          <w:color w:val="auto"/>
          <w:sz w:val="20"/>
          <w:szCs w:val="20"/>
        </w:rPr>
        <w:t>4</w:t>
      </w:r>
      <w:r w:rsidR="0083310D" w:rsidRPr="0083310D">
        <w:rPr>
          <w:rFonts w:asciiTheme="minorHAnsi" w:hAnsiTheme="minorHAnsi"/>
          <w:color w:val="auto"/>
          <w:sz w:val="20"/>
          <w:szCs w:val="20"/>
        </w:rPr>
        <w:t xml:space="preserve"> de </w:t>
      </w:r>
      <w:r w:rsidR="001A1387">
        <w:rPr>
          <w:rFonts w:asciiTheme="minorHAnsi" w:hAnsiTheme="minorHAnsi"/>
          <w:color w:val="auto"/>
          <w:sz w:val="20"/>
          <w:szCs w:val="20"/>
        </w:rPr>
        <w:t>Diciembre</w:t>
      </w:r>
      <w:r w:rsidR="0083310D" w:rsidRPr="0083310D">
        <w:rPr>
          <w:rFonts w:asciiTheme="minorHAnsi" w:hAnsiTheme="minorHAnsi"/>
          <w:color w:val="auto"/>
          <w:sz w:val="20"/>
          <w:szCs w:val="20"/>
        </w:rPr>
        <w:t xml:space="preserve"> del 2017</w:t>
      </w:r>
      <w:r>
        <w:rPr>
          <w:rFonts w:asciiTheme="minorHAnsi" w:hAnsiTheme="minorHAnsi"/>
          <w:color w:val="auto"/>
          <w:sz w:val="20"/>
          <w:szCs w:val="20"/>
        </w:rPr>
        <w:t>.</w:t>
      </w:r>
    </w:p>
    <w:p w:rsidR="00B011DA" w:rsidRDefault="00B011DA" w:rsidP="00B011DA">
      <w:pPr>
        <w:pStyle w:val="Default"/>
        <w:rPr>
          <w:rFonts w:asciiTheme="minorHAnsi" w:hAnsiTheme="minorHAnsi"/>
          <w:color w:val="auto"/>
          <w:sz w:val="20"/>
          <w:szCs w:val="20"/>
        </w:rPr>
      </w:pPr>
    </w:p>
    <w:p w:rsidR="005F230B" w:rsidRDefault="005F230B" w:rsidP="00B011DA">
      <w:pPr>
        <w:pStyle w:val="Default"/>
        <w:rPr>
          <w:rFonts w:asciiTheme="minorHAnsi" w:hAnsiTheme="minorHAnsi"/>
          <w:color w:val="auto"/>
          <w:sz w:val="20"/>
          <w:szCs w:val="20"/>
        </w:rPr>
      </w:pPr>
    </w:p>
    <w:p w:rsidR="005F230B" w:rsidRDefault="005F230B" w:rsidP="00B011DA">
      <w:pPr>
        <w:pStyle w:val="Default"/>
        <w:rPr>
          <w:rFonts w:asciiTheme="minorHAnsi" w:hAnsiTheme="minorHAnsi"/>
          <w:color w:val="auto"/>
          <w:sz w:val="20"/>
          <w:szCs w:val="20"/>
        </w:rPr>
      </w:pPr>
    </w:p>
    <w:p w:rsidR="005F230B" w:rsidRDefault="005F230B"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5F230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011DA" w:rsidRPr="00E50172" w:rsidRDefault="00B011DA" w:rsidP="005F230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51B1C">
              <w:rPr>
                <w:rFonts w:ascii="Century Gothic" w:hAnsi="Century Gothic" w:cs="Arial"/>
                <w:b/>
                <w:color w:val="000000"/>
                <w:sz w:val="18"/>
              </w:rPr>
              <w:t>N62-2017</w:t>
            </w:r>
          </w:p>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5F230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5F230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12/12</w:t>
            </w:r>
            <w:r w:rsidR="0083310D" w:rsidRPr="0083310D">
              <w:rPr>
                <w:rFonts w:ascii="Century Gothic" w:hAnsi="Century Gothic" w:cs="Arial"/>
                <w:sz w:val="16"/>
                <w:szCs w:val="18"/>
              </w:rPr>
              <w:t>/2017</w:t>
            </w:r>
          </w:p>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12</w:t>
            </w:r>
            <w:r w:rsidR="0083310D" w:rsidRPr="0083310D">
              <w:rPr>
                <w:rFonts w:ascii="Century Gothic" w:hAnsi="Century Gothic" w:cs="Arial"/>
                <w:sz w:val="16"/>
                <w:szCs w:val="18"/>
              </w:rPr>
              <w:t>:0</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r w:rsidRPr="0083310D">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20</w:t>
            </w:r>
            <w:r w:rsidR="00B011DA" w:rsidRPr="0083310D">
              <w:rPr>
                <w:rFonts w:ascii="Century Gothic" w:hAnsi="Century Gothic" w:cs="Arial"/>
                <w:sz w:val="16"/>
                <w:szCs w:val="18"/>
              </w:rPr>
              <w:t>/</w:t>
            </w:r>
            <w:r>
              <w:rPr>
                <w:rFonts w:ascii="Century Gothic" w:hAnsi="Century Gothic" w:cs="Arial"/>
                <w:sz w:val="16"/>
                <w:szCs w:val="18"/>
              </w:rPr>
              <w:t>12</w:t>
            </w:r>
            <w:r w:rsidR="00B011DA" w:rsidRPr="0083310D">
              <w:rPr>
                <w:rFonts w:ascii="Century Gothic" w:hAnsi="Century Gothic" w:cs="Arial"/>
                <w:sz w:val="16"/>
                <w:szCs w:val="18"/>
              </w:rPr>
              <w:t>/2017</w:t>
            </w:r>
          </w:p>
          <w:p w:rsidR="00B011DA" w:rsidRPr="0083310D" w:rsidRDefault="00B011DA" w:rsidP="005F230B">
            <w:pPr>
              <w:jc w:val="center"/>
              <w:rPr>
                <w:rFonts w:ascii="Century Gothic" w:hAnsi="Century Gothic" w:cs="Arial"/>
                <w:sz w:val="16"/>
                <w:szCs w:val="18"/>
              </w:rPr>
            </w:pPr>
            <w:r w:rsidRPr="0083310D">
              <w:rPr>
                <w:rFonts w:ascii="Century Gothic" w:hAnsi="Century Gothic" w:cs="Arial"/>
                <w:sz w:val="16"/>
                <w:szCs w:val="18"/>
              </w:rPr>
              <w:t>1</w:t>
            </w:r>
            <w:r w:rsidR="001A1387">
              <w:rPr>
                <w:rFonts w:ascii="Century Gothic" w:hAnsi="Century Gothic" w:cs="Arial"/>
                <w:sz w:val="16"/>
                <w:szCs w:val="18"/>
              </w:rPr>
              <w:t>4:3</w:t>
            </w:r>
            <w:r w:rsidRPr="0083310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22/12</w:t>
            </w:r>
            <w:r w:rsidR="00B011DA" w:rsidRPr="0083310D">
              <w:rPr>
                <w:rFonts w:ascii="Century Gothic" w:hAnsi="Century Gothic" w:cs="Arial"/>
                <w:sz w:val="16"/>
                <w:szCs w:val="18"/>
              </w:rPr>
              <w:t>/2017</w:t>
            </w:r>
          </w:p>
          <w:p w:rsidR="00B011DA" w:rsidRPr="0083310D" w:rsidRDefault="001A1387" w:rsidP="001A1387">
            <w:pPr>
              <w:jc w:val="center"/>
              <w:rPr>
                <w:rFonts w:ascii="Century Gothic" w:hAnsi="Century Gothic" w:cs="Arial"/>
                <w:sz w:val="16"/>
                <w:szCs w:val="18"/>
              </w:rPr>
            </w:pPr>
            <w:r>
              <w:rPr>
                <w:rFonts w:ascii="Century Gothic" w:hAnsi="Century Gothic" w:cs="Arial"/>
                <w:sz w:val="16"/>
                <w:szCs w:val="18"/>
              </w:rPr>
              <w:t>10:15</w:t>
            </w:r>
            <w:r w:rsidR="00B011DA"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22/12</w:t>
            </w:r>
            <w:r w:rsidR="00B011DA" w:rsidRPr="0083310D">
              <w:rPr>
                <w:rFonts w:ascii="Century Gothic" w:hAnsi="Century Gothic" w:cs="Arial"/>
                <w:sz w:val="16"/>
                <w:szCs w:val="18"/>
              </w:rPr>
              <w:t>/2017</w:t>
            </w:r>
          </w:p>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10</w:t>
            </w:r>
            <w:r w:rsidR="00B011DA" w:rsidRPr="0083310D">
              <w:rPr>
                <w:rFonts w:ascii="Century Gothic" w:hAnsi="Century Gothic" w:cs="Arial"/>
                <w:sz w:val="16"/>
                <w:szCs w:val="18"/>
              </w:rPr>
              <w:t>:30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22/12</w:t>
            </w:r>
            <w:r w:rsidR="00B011DA" w:rsidRPr="0083310D">
              <w:rPr>
                <w:rFonts w:ascii="Century Gothic" w:hAnsi="Century Gothic" w:cs="Arial"/>
                <w:sz w:val="16"/>
                <w:szCs w:val="18"/>
              </w:rPr>
              <w:t>/2017</w:t>
            </w:r>
          </w:p>
          <w:p w:rsidR="00B011DA" w:rsidRPr="0083310D" w:rsidRDefault="001A1387" w:rsidP="005F230B">
            <w:pPr>
              <w:jc w:val="center"/>
              <w:rPr>
                <w:rFonts w:ascii="Century Gothic" w:hAnsi="Century Gothic" w:cs="Arial"/>
                <w:sz w:val="16"/>
                <w:szCs w:val="18"/>
              </w:rPr>
            </w:pPr>
            <w:r>
              <w:rPr>
                <w:rFonts w:ascii="Century Gothic" w:hAnsi="Century Gothic" w:cs="Arial"/>
                <w:sz w:val="16"/>
                <w:szCs w:val="18"/>
              </w:rPr>
              <w:t>10:45</w:t>
            </w:r>
            <w:r w:rsidR="00B011DA"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1A1387">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1A1387">
              <w:rPr>
                <w:rFonts w:ascii="Century Gothic" w:hAnsi="Century Gothic" w:cs="Arial"/>
                <w:sz w:val="16"/>
                <w:szCs w:val="18"/>
              </w:rPr>
              <w:t>día 9</w:t>
            </w:r>
            <w:r w:rsidRPr="0083310D">
              <w:rPr>
                <w:rFonts w:ascii="Century Gothic" w:hAnsi="Century Gothic" w:cs="Arial"/>
                <w:sz w:val="16"/>
                <w:szCs w:val="18"/>
              </w:rPr>
              <w:t xml:space="preserve"> de </w:t>
            </w:r>
            <w:r w:rsidR="001A1387">
              <w:rPr>
                <w:rFonts w:ascii="Century Gothic" w:hAnsi="Century Gothic" w:cs="Arial"/>
                <w:sz w:val="16"/>
                <w:szCs w:val="18"/>
              </w:rPr>
              <w:t>Enero</w:t>
            </w:r>
            <w:r w:rsidRPr="0083310D">
              <w:rPr>
                <w:rFonts w:ascii="Century Gothic" w:hAnsi="Century Gothic" w:cs="Arial"/>
                <w:sz w:val="16"/>
                <w:szCs w:val="18"/>
              </w:rPr>
              <w:t xml:space="preserve"> de</w:t>
            </w:r>
            <w:r w:rsidR="001A1387">
              <w:rPr>
                <w:rFonts w:ascii="Century Gothic" w:hAnsi="Century Gothic" w:cs="Arial"/>
                <w:sz w:val="16"/>
                <w:szCs w:val="18"/>
              </w:rPr>
              <w:t>l</w:t>
            </w:r>
            <w:r w:rsidRPr="0083310D">
              <w:rPr>
                <w:rFonts w:ascii="Century Gothic" w:hAnsi="Century Gothic" w:cs="Arial"/>
                <w:sz w:val="16"/>
                <w:szCs w:val="18"/>
              </w:rPr>
              <w:t xml:space="preserve"> 201</w:t>
            </w:r>
            <w:r w:rsidR="001A1387">
              <w:rPr>
                <w:rFonts w:ascii="Century Gothic" w:hAnsi="Century Gothic" w:cs="Arial"/>
                <w:sz w:val="16"/>
                <w:szCs w:val="18"/>
              </w:rPr>
              <w:t>8</w:t>
            </w:r>
            <w:r w:rsidRPr="0083310D">
              <w:rPr>
                <w:rFonts w:ascii="Century Gothic" w:hAnsi="Century Gothic" w:cs="Arial"/>
                <w:sz w:val="16"/>
                <w:szCs w:val="18"/>
              </w:rPr>
              <w:t xml:space="preserve"> en </w:t>
            </w:r>
            <w:r w:rsidRPr="0083310D">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B011DA" w:rsidRPr="00E50172" w:rsidTr="005F230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ind w:left="720" w:right="51"/>
        <w:jc w:val="both"/>
        <w:rPr>
          <w:rFonts w:ascii="Calibri" w:hAnsi="Calibri"/>
        </w:rPr>
      </w:pP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ind w:left="1080" w:right="51"/>
        <w:jc w:val="both"/>
        <w:rPr>
          <w:rFonts w:ascii="Calibri" w:hAnsi="Calibri"/>
        </w:rPr>
      </w:pP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C84FE6" w:rsidRDefault="00B011DA" w:rsidP="00B011DA">
      <w:pPr>
        <w:pStyle w:val="Prrafodelista"/>
        <w:rPr>
          <w:rFonts w:ascii="Calibri" w:hAnsi="Calibri" w:cs="Arial"/>
        </w:rPr>
      </w:pP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1C463D" w:rsidRDefault="00B011DA" w:rsidP="00B011DA">
      <w:pPr>
        <w:pStyle w:val="Prrafodelista"/>
        <w:rPr>
          <w:rFonts w:ascii="Calibri" w:hAnsi="Calibri"/>
        </w:rPr>
      </w:pP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pStyle w:val="Prrafodelista"/>
        <w:rPr>
          <w:rFonts w:asciiTheme="minorHAnsi" w:hAnsiTheme="minorHAnsi"/>
        </w:rPr>
      </w:pPr>
    </w:p>
    <w:p w:rsidR="00B011DA" w:rsidRPr="009A3619" w:rsidRDefault="00B011DA" w:rsidP="00B011DA">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E37B1E" w:rsidRPr="00813E12" w:rsidRDefault="00E37B1E" w:rsidP="00E37B1E">
      <w:pPr>
        <w:ind w:right="51"/>
        <w:jc w:val="both"/>
        <w:rPr>
          <w:rFonts w:ascii="Calibri" w:hAnsi="Calibri" w:cs="Arial"/>
          <w:sz w:val="16"/>
        </w:rPr>
      </w:pPr>
    </w:p>
    <w:p w:rsidR="000B78E5" w:rsidRPr="0039320A" w:rsidRDefault="00B011DA"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643C8B" w:rsidRPr="00B9771E">
        <w:rPr>
          <w:rFonts w:ascii="Calibri" w:hAnsi="Calibri"/>
          <w:sz w:val="20"/>
        </w:rPr>
        <w:t>1</w:t>
      </w:r>
      <w:r w:rsidRPr="00B9771E">
        <w:rPr>
          <w:rFonts w:ascii="Calibri" w:hAnsi="Calibri"/>
          <w:sz w:val="20"/>
        </w:rPr>
        <w:t xml:space="preserve"> de </w:t>
      </w:r>
      <w:r w:rsidR="001A1387">
        <w:rPr>
          <w:rFonts w:ascii="Calibri" w:hAnsi="Calibri"/>
          <w:sz w:val="20"/>
        </w:rPr>
        <w:t>Enero</w:t>
      </w:r>
      <w:r w:rsidRPr="00B9771E">
        <w:rPr>
          <w:rFonts w:ascii="Calibri" w:hAnsi="Calibri"/>
          <w:sz w:val="20"/>
        </w:rPr>
        <w:t xml:space="preserve"> del 201</w:t>
      </w:r>
      <w:r w:rsidR="001A1387">
        <w:rPr>
          <w:rFonts w:ascii="Calibri" w:hAnsi="Calibri"/>
          <w:sz w:val="20"/>
        </w:rPr>
        <w:t>8</w:t>
      </w:r>
      <w:r w:rsidRPr="00B9771E">
        <w:rPr>
          <w:rFonts w:ascii="Calibri" w:hAnsi="Calibri"/>
          <w:sz w:val="20"/>
        </w:rPr>
        <w:t xml:space="preserve"> al </w:t>
      </w:r>
      <w:r w:rsidR="006F697A" w:rsidRPr="00B9771E">
        <w:rPr>
          <w:rFonts w:ascii="Calibri" w:hAnsi="Calibri"/>
          <w:sz w:val="20"/>
        </w:rPr>
        <w:t>3</w:t>
      </w:r>
      <w:r w:rsidR="009E04A4" w:rsidRPr="00B9771E">
        <w:rPr>
          <w:rFonts w:ascii="Calibri" w:hAnsi="Calibri"/>
          <w:sz w:val="20"/>
        </w:rPr>
        <w:t>1</w:t>
      </w:r>
      <w:r w:rsidRPr="00B9771E">
        <w:rPr>
          <w:rFonts w:ascii="Calibri" w:hAnsi="Calibri"/>
          <w:sz w:val="20"/>
        </w:rPr>
        <w:t xml:space="preserve"> de </w:t>
      </w:r>
      <w:r w:rsidR="006F697A" w:rsidRPr="00B9771E">
        <w:rPr>
          <w:rFonts w:ascii="Calibri" w:hAnsi="Calibri"/>
          <w:sz w:val="20"/>
        </w:rPr>
        <w:t>Diciembre</w:t>
      </w:r>
      <w:r w:rsidRPr="00B9771E">
        <w:rPr>
          <w:rFonts w:ascii="Calibri" w:hAnsi="Calibri"/>
          <w:sz w:val="20"/>
        </w:rPr>
        <w:t xml:space="preserve"> del 201</w:t>
      </w:r>
      <w:r w:rsidR="001A1387">
        <w:rPr>
          <w:rFonts w:ascii="Calibri" w:hAnsi="Calibri"/>
          <w:sz w:val="20"/>
        </w:rPr>
        <w:t>8</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la Convocante por la falta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 xml:space="preserve">y demás disposiciones que de ella se deriven, serán aplicables la Ley de Administración Financiera para el Estado de Nuevo León, la </w:t>
      </w:r>
      <w:r w:rsidRPr="0039320A">
        <w:rPr>
          <w:rFonts w:ascii="Calibri" w:hAnsi="Calibri"/>
        </w:rPr>
        <w:lastRenderedPageBreak/>
        <w:t>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A1387">
        <w:rPr>
          <w:rFonts w:asciiTheme="minorHAnsi" w:hAnsiTheme="minorHAnsi"/>
          <w:b/>
        </w:rPr>
        <w:t>4</w:t>
      </w:r>
      <w:r w:rsidR="00B9771E">
        <w:rPr>
          <w:rFonts w:asciiTheme="minorHAnsi" w:hAnsiTheme="minorHAnsi"/>
          <w:b/>
        </w:rPr>
        <w:t xml:space="preserve"> DE </w:t>
      </w:r>
      <w:r w:rsidR="001A1387">
        <w:rPr>
          <w:rFonts w:asciiTheme="minorHAnsi" w:hAnsiTheme="minorHAnsi"/>
          <w:b/>
        </w:rPr>
        <w:t>DICIEMBRE</w:t>
      </w:r>
      <w:r w:rsidR="00B9771E">
        <w:rPr>
          <w:rFonts w:asciiTheme="minorHAnsi" w:hAnsiTheme="minorHAnsi"/>
          <w:b/>
        </w:rPr>
        <w:t xml:space="preserve"> DEL 2017</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1A1387" w:rsidRDefault="001A1387"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47"/>
        <w:gridCol w:w="1411"/>
        <w:gridCol w:w="884"/>
        <w:gridCol w:w="1256"/>
        <w:gridCol w:w="5809"/>
      </w:tblGrid>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343E41" w:rsidRDefault="00BE34A4" w:rsidP="00BE34A4">
            <w:pPr>
              <w:jc w:val="center"/>
              <w:rPr>
                <w:rFonts w:asciiTheme="minorHAnsi" w:hAnsiTheme="minorHAnsi" w:cs="Arial"/>
                <w:b/>
                <w:color w:val="000000"/>
              </w:rPr>
            </w:pPr>
            <w:r w:rsidRPr="00343E41">
              <w:rPr>
                <w:rFonts w:asciiTheme="minorHAnsi" w:hAnsiTheme="minorHAnsi" w:cs="Arial"/>
                <w:b/>
                <w:color w:val="000000"/>
              </w:rPr>
              <w:t>Especificaciones Técnicas</w:t>
            </w:r>
          </w:p>
        </w:tc>
      </w:tr>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E37B1E" w:rsidP="008B470B">
            <w:pPr>
              <w:jc w:val="center"/>
              <w:rPr>
                <w:rFonts w:asciiTheme="minorHAnsi" w:hAnsiTheme="minorHAnsi" w:cs="Arial"/>
                <w:color w:val="000000"/>
              </w:rPr>
            </w:pPr>
            <w:r w:rsidRPr="00343E41">
              <w:rPr>
                <w:rFonts w:asciiTheme="minorHAnsi" w:hAnsiTheme="minorHAnsi" w:cs="Arial"/>
                <w:color w:val="000000"/>
              </w:rPr>
              <w:t>SUMINISTRO DE GASES MEDICINALES PARA DIFERENTES UNIDADES</w:t>
            </w:r>
            <w:r w:rsidR="008B470B" w:rsidRPr="00343E41">
              <w:rPr>
                <w:rFonts w:asciiTheme="minorHAnsi" w:hAnsiTheme="minorHAnsi" w:cs="Arial"/>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rPr>
            </w:pPr>
            <w:r w:rsidRPr="00343E41">
              <w:rPr>
                <w:rFonts w:asciiTheme="minorHAnsi" w:hAnsiTheme="minorHAnsi" w:cs="Arial"/>
              </w:rPr>
              <w:t>Paquete</w:t>
            </w:r>
          </w:p>
        </w:tc>
        <w:tc>
          <w:tcPr>
            <w:tcW w:w="5812" w:type="dxa"/>
            <w:tcBorders>
              <w:top w:val="single" w:sz="4" w:space="0" w:color="000000"/>
              <w:left w:val="single" w:sz="4" w:space="0" w:color="000000"/>
              <w:bottom w:val="single" w:sz="4" w:space="0" w:color="000000"/>
              <w:right w:val="single" w:sz="4" w:space="0" w:color="000000"/>
            </w:tcBorders>
          </w:tcPr>
          <w:tbl>
            <w:tblP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4"/>
              <w:gridCol w:w="1200"/>
              <w:gridCol w:w="1200"/>
            </w:tblGrid>
            <w:tr w:rsidR="00343E41" w:rsidRPr="00343E41" w:rsidTr="00343E41">
              <w:trPr>
                <w:trHeight w:val="345"/>
              </w:trPr>
              <w:tc>
                <w:tcPr>
                  <w:tcW w:w="3204" w:type="dxa"/>
                  <w:shd w:val="clear" w:color="000000" w:fill="00FFFF"/>
                  <w:noWrap/>
                  <w:vAlign w:val="center"/>
                  <w:hideMark/>
                </w:tcPr>
                <w:p w:rsidR="00343E41" w:rsidRPr="00343E41" w:rsidRDefault="00343E41" w:rsidP="00343E41">
                  <w:pPr>
                    <w:jc w:val="center"/>
                    <w:rPr>
                      <w:rFonts w:ascii="Calibri" w:hAnsi="Calibri"/>
                      <w:b/>
                      <w:bCs/>
                      <w:color w:val="000000"/>
                      <w:lang w:val="es-MX" w:eastAsia="es-MX"/>
                    </w:rPr>
                  </w:pPr>
                  <w:r w:rsidRPr="00343E41">
                    <w:rPr>
                      <w:rFonts w:ascii="Calibri" w:hAnsi="Calibri"/>
                      <w:b/>
                      <w:bCs/>
                      <w:color w:val="000000"/>
                      <w:lang w:val="es-MX" w:eastAsia="es-MX"/>
                    </w:rPr>
                    <w:t>UNIDAD Y DESCRIPCIÓN</w:t>
                  </w:r>
                </w:p>
              </w:tc>
              <w:tc>
                <w:tcPr>
                  <w:tcW w:w="1200" w:type="dxa"/>
                  <w:shd w:val="clear" w:color="000000" w:fill="00FFFF"/>
                  <w:vAlign w:val="center"/>
                  <w:hideMark/>
                </w:tcPr>
                <w:p w:rsidR="00343E41" w:rsidRPr="00343E41" w:rsidRDefault="00343E41" w:rsidP="00343E41">
                  <w:pPr>
                    <w:jc w:val="center"/>
                    <w:rPr>
                      <w:rFonts w:ascii="Calibri" w:hAnsi="Calibri"/>
                      <w:b/>
                      <w:bCs/>
                      <w:color w:val="000000"/>
                      <w:lang w:val="es-MX" w:eastAsia="es-MX"/>
                    </w:rPr>
                  </w:pPr>
                  <w:r w:rsidRPr="00343E41">
                    <w:rPr>
                      <w:rFonts w:ascii="Calibri" w:hAnsi="Calibri"/>
                      <w:b/>
                      <w:bCs/>
                      <w:color w:val="000000"/>
                      <w:lang w:val="es-MX" w:eastAsia="es-MX"/>
                    </w:rPr>
                    <w:t>UNIDAD DE MEDIDA</w:t>
                  </w:r>
                </w:p>
              </w:tc>
              <w:tc>
                <w:tcPr>
                  <w:tcW w:w="1200" w:type="dxa"/>
                  <w:shd w:val="clear" w:color="000000" w:fill="00FFFF"/>
                  <w:noWrap/>
                  <w:vAlign w:val="center"/>
                  <w:hideMark/>
                </w:tcPr>
                <w:p w:rsidR="00343E41" w:rsidRPr="00343E41" w:rsidRDefault="00343E41" w:rsidP="00343E41">
                  <w:pPr>
                    <w:jc w:val="center"/>
                    <w:rPr>
                      <w:rFonts w:ascii="Calibri" w:hAnsi="Calibri"/>
                      <w:b/>
                      <w:bCs/>
                      <w:color w:val="000000"/>
                      <w:lang w:val="es-MX" w:eastAsia="es-MX"/>
                    </w:rPr>
                  </w:pPr>
                  <w:r w:rsidRPr="00343E41">
                    <w:rPr>
                      <w:rFonts w:ascii="Calibri" w:hAnsi="Calibri"/>
                      <w:b/>
                      <w:bCs/>
                      <w:color w:val="000000"/>
                      <w:lang w:val="es-MX" w:eastAsia="es-MX"/>
                    </w:rPr>
                    <w:t>CANTIDAD</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ACETILENO ULTRAPURO PARA ABSORCION ATOMICA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10</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AIRE USP CILINDRO  "K" Y " T"</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981</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ARGON ULTRA PURO</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17</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CO2 DIOXIDO DE CARBONO  U.S.P. CILINDRO  "E"</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159</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CO2 DIOXIDO DE CARBONO  U.S.P. CILINDRO  "K"</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KG</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132</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CO2 GAS CARBONICO INDUSTRIAL 25 GRADO</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2</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CONSUMIBLES PARA GHIP OXIDO NITRICO</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KIT</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27</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GHIP OXIDO NITRICO</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84</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HELIO 5.0 ULTRA ALTA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2</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 xml:space="preserve">NITROGENO N.F. CILINDRO "T "    </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90</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NITROGENO ULTRA ULTRA PURO</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4</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OXIDO NITROSO USP CILINDRO "K"</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KG</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550</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OXIGENO USP CILINDRO " K" Y "T"</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12355</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OXIGENO USP CILINDRO "E"</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87</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OXIGENO USP CILINDRO "Q"</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25</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OXIGENO USP LIQ. BULK</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528621</w:t>
                  </w:r>
                </w:p>
              </w:tc>
            </w:tr>
            <w:tr w:rsidR="00343E41" w:rsidRPr="00343E41" w:rsidTr="00343E41">
              <w:trPr>
                <w:trHeight w:val="315"/>
              </w:trPr>
              <w:tc>
                <w:tcPr>
                  <w:tcW w:w="3204" w:type="dxa"/>
                  <w:shd w:val="clear" w:color="auto" w:fill="auto"/>
                  <w:noWrap/>
                  <w:vAlign w:val="center"/>
                  <w:hideMark/>
                </w:tcPr>
                <w:p w:rsidR="00343E41" w:rsidRPr="00343E41" w:rsidRDefault="00343E41" w:rsidP="00343E41">
                  <w:pPr>
                    <w:rPr>
                      <w:rFonts w:ascii="Calibri" w:hAnsi="Calibri"/>
                      <w:color w:val="000000"/>
                      <w:lang w:val="es-MX" w:eastAsia="es-MX"/>
                    </w:rPr>
                  </w:pPr>
                  <w:r w:rsidRPr="00343E41">
                    <w:rPr>
                      <w:rFonts w:ascii="Calibri" w:hAnsi="Calibri"/>
                      <w:color w:val="000000"/>
                      <w:lang w:val="es-MX" w:eastAsia="es-MX"/>
                    </w:rPr>
                    <w:t>PAQUETE "RESPIROX"</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343E41" w:rsidRPr="00343E41" w:rsidRDefault="00343E41" w:rsidP="00343E41">
                  <w:pPr>
                    <w:jc w:val="center"/>
                    <w:rPr>
                      <w:rFonts w:ascii="Calibri" w:hAnsi="Calibri"/>
                      <w:color w:val="000000"/>
                      <w:lang w:val="es-MX" w:eastAsia="es-MX"/>
                    </w:rPr>
                  </w:pPr>
                  <w:r w:rsidRPr="00343E41">
                    <w:rPr>
                      <w:rFonts w:ascii="Calibri" w:hAnsi="Calibri"/>
                      <w:color w:val="000000"/>
                      <w:lang w:val="es-MX" w:eastAsia="es-MX"/>
                    </w:rPr>
                    <w:t>1213</w:t>
                  </w:r>
                </w:p>
              </w:tc>
            </w:tr>
          </w:tbl>
          <w:p w:rsidR="00104D64" w:rsidRPr="00343E41" w:rsidRDefault="00104D64" w:rsidP="00DF5AB9">
            <w:pPr>
              <w:jc w:val="both"/>
              <w:rPr>
                <w:rFonts w:asciiTheme="minorHAnsi" w:hAnsiTheme="minorHAnsi" w:cs="Arial"/>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B51B1C">
              <w:rPr>
                <w:rFonts w:ascii="Calibri" w:hAnsi="Calibri"/>
                <w:bCs/>
              </w:rPr>
              <w:t>N62-2017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51B1C">
              <w:rPr>
                <w:rFonts w:asciiTheme="minorHAnsi" w:hAnsiTheme="minorHAnsi" w:cs="Arial"/>
                <w:bCs/>
                <w:u w:val="single"/>
              </w:rPr>
              <w:t>N62-2017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__, ____ de _____________ de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51B1C">
        <w:rPr>
          <w:rFonts w:ascii="Calibri" w:hAnsi="Calibri" w:cs="Calibri"/>
          <w:b/>
          <w:bCs/>
          <w:sz w:val="20"/>
          <w:szCs w:val="20"/>
        </w:rPr>
        <w:t>N62-2017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5F230B">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F230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w:t>
      </w:r>
      <w:r w:rsidR="005F230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B51B1C">
        <w:rPr>
          <w:rFonts w:asciiTheme="minorHAnsi" w:hAnsiTheme="minorHAnsi" w:cstheme="minorHAnsi"/>
          <w:b/>
          <w:u w:val="single"/>
        </w:rPr>
        <w:t>N62-2017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B51B1C">
        <w:rPr>
          <w:rFonts w:ascii="Calibri" w:hAnsi="Calibri" w:cs="Calibri"/>
          <w:b/>
          <w:bCs/>
          <w:sz w:val="20"/>
          <w:szCs w:val="20"/>
        </w:rPr>
        <w:t>N62-2017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EB135E">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B51B1C">
        <w:rPr>
          <w:rFonts w:ascii="Calibri" w:hAnsi="Calibri"/>
          <w:b/>
          <w:bCs/>
          <w:sz w:val="20"/>
          <w:szCs w:val="20"/>
        </w:rPr>
        <w:t>N62-2017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Copia de los registros sanitarios vigentes del Óxido Nitroso y del Oxígeno.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031007" w:rsidP="00031007">
            <w:pPr>
              <w:ind w:left="13"/>
              <w:jc w:val="both"/>
              <w:rPr>
                <w:rFonts w:cs="Arial"/>
                <w:kern w:val="24"/>
                <w:sz w:val="14"/>
                <w:szCs w:val="14"/>
              </w:rPr>
            </w:pPr>
            <w:r>
              <w:rPr>
                <w:rFonts w:asciiTheme="minorHAnsi" w:hAnsiTheme="minorHAnsi" w:cs="Arial"/>
                <w:kern w:val="24"/>
                <w:sz w:val="14"/>
                <w:szCs w:val="14"/>
                <w:lang w:val="es-MX" w:eastAsia="es-MX"/>
              </w:rPr>
              <w:t>Escrito bajo protesta de decir verdad en el cual manifieste</w:t>
            </w:r>
            <w:r w:rsidR="005352EF" w:rsidRPr="005352EF">
              <w:rPr>
                <w:rFonts w:asciiTheme="minorHAnsi" w:hAnsiTheme="minorHAnsi" w:cs="Arial"/>
                <w:kern w:val="24"/>
                <w:sz w:val="14"/>
                <w:szCs w:val="14"/>
                <w:lang w:eastAsia="es-MX"/>
              </w:rPr>
              <w:t xml:space="preserve"> que cumplen con las Normas que se señalan en el punto 1.1.13 de las presentes bases, para las Normas; así como informes de ensayos emitidos por un tercero que comprueben el cumplimiento de todas las normas señaladas en el numeral 1.1.13.</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r w:rsidRPr="005352EF">
              <w:rPr>
                <w:rFonts w:asciiTheme="minorHAnsi" w:hAnsiTheme="minorHAnsi" w:cs="Arial"/>
                <w:kern w:val="24"/>
                <w:sz w:val="14"/>
                <w:szCs w:val="14"/>
                <w:lang w:val="es-ES" w:eastAsia="es-MX"/>
              </w:rPr>
              <w:t>rograma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Cartas selladas y firmadas por 2 Administradores de las Unidades locales y 2 de las Unidades foráneas, a las que hace alusión el punto 1.2.1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Pr="005352EF">
              <w:rPr>
                <w:rFonts w:asciiTheme="minorHAnsi" w:hAnsiTheme="minorHAnsi" w:cstheme="minorHAnsi"/>
                <w:sz w:val="14"/>
                <w:szCs w:val="14"/>
              </w:rPr>
              <w:t xml:space="preserve"> de la Ley, </w:t>
            </w:r>
            <w:r w:rsidRPr="005352EF">
              <w:rPr>
                <w:rFonts w:asciiTheme="minorHAnsi" w:hAnsiTheme="minorHAnsi" w:cs="Arial"/>
                <w:i/>
                <w:sz w:val="14"/>
                <w:szCs w:val="14"/>
              </w:rPr>
              <w:t>Artículo 50</w:t>
            </w:r>
            <w:r w:rsidRPr="005352EF">
              <w:rPr>
                <w:rFonts w:asciiTheme="minorHAnsi" w:hAnsiTheme="minorHAnsi" w:cs="Arial"/>
                <w:sz w:val="14"/>
                <w:szCs w:val="14"/>
              </w:rPr>
              <w:t xml:space="preserve"> Fracc. XXIII de La Ley de responsabilidades de los Servidores Públicos del Estado y Municipios de Nuevo León 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EE7325">
            <w:pPr>
              <w:tabs>
                <w:tab w:val="left" w:pos="1134"/>
              </w:tabs>
              <w:ind w:left="13"/>
              <w:jc w:val="both"/>
              <w:rPr>
                <w:color w:val="000000"/>
                <w:sz w:val="14"/>
                <w:szCs w:val="14"/>
              </w:rPr>
            </w:pPr>
            <w:r w:rsidRPr="005352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5352EF">
              <w:rPr>
                <w:rFonts w:asciiTheme="minorHAnsi" w:hAnsiTheme="minorHAnsi" w:cs="Arial"/>
                <w:i/>
                <w:sz w:val="14"/>
                <w:szCs w:val="14"/>
              </w:rPr>
              <w:t>Artículo 33 Bis</w:t>
            </w:r>
            <w:r w:rsidRPr="005352EF">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266EEA" w:rsidRPr="00266EEA">
              <w:rPr>
                <w:rFonts w:asciiTheme="minorHAnsi" w:hAnsiTheme="minorHAnsi" w:cs="Arial"/>
                <w:sz w:val="14"/>
                <w:szCs w:val="14"/>
              </w:rPr>
              <w:t>2.1.31 de la Miscelánea Fiscal para el Ejercicio 2017</w:t>
            </w:r>
            <w:r w:rsidRPr="005352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EF2AB1">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F2AB1">
              <w:rPr>
                <w:rFonts w:asciiTheme="minorHAnsi" w:hAnsiTheme="minorHAnsi" w:cstheme="minorHAnsi"/>
                <w:sz w:val="14"/>
                <w:szCs w:val="14"/>
                <w:lang w:val="es-MX"/>
              </w:rPr>
              <w:t xml:space="preserve"> </w:t>
            </w:r>
            <w:r w:rsidRPr="005352EF">
              <w:rPr>
                <w:rFonts w:asciiTheme="minorHAnsi" w:hAnsiTheme="minorHAnsi" w:cstheme="minorHAnsi"/>
                <w:sz w:val="14"/>
                <w:szCs w:val="14"/>
              </w:rPr>
              <w:t>En caso de que no participen en propuestas conjuntas deberá manifestarlo por escrit</w:t>
            </w:r>
            <w:r w:rsidR="00EF2AB1">
              <w:rPr>
                <w:rFonts w:asciiTheme="minorHAnsi" w:hAnsiTheme="minorHAnsi" w:cstheme="minorHAnsi"/>
                <w:sz w:val="14"/>
                <w:szCs w:val="14"/>
              </w:rPr>
              <w:t>o bajo protesta de decir verdad (La falta de presentación de este documento, no será motivo de descalificación)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040C4D">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51B1C">
        <w:rPr>
          <w:rFonts w:asciiTheme="minorHAnsi" w:hAnsiTheme="minorHAnsi"/>
          <w:color w:val="auto"/>
          <w:sz w:val="18"/>
          <w:szCs w:val="16"/>
        </w:rPr>
        <w:t>N62-2017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040C4D">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51B1C">
        <w:rPr>
          <w:rFonts w:asciiTheme="minorHAnsi" w:hAnsiTheme="minorHAnsi"/>
          <w:color w:val="auto"/>
          <w:sz w:val="18"/>
          <w:szCs w:val="16"/>
        </w:rPr>
        <w:t>N62-2017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lastRenderedPageBreak/>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41CE2">
        <w:rPr>
          <w:rFonts w:asciiTheme="minorHAnsi" w:hAnsiTheme="minorHAnsi"/>
          <w:sz w:val="17"/>
          <w:szCs w:val="17"/>
        </w:rPr>
        <w:t>C.P. Aarón Serrato araoz</w:t>
      </w:r>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_____ de _________ de_________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B51B1C">
        <w:rPr>
          <w:rFonts w:ascii="Calibri" w:hAnsi="Calibri"/>
          <w:sz w:val="17"/>
          <w:szCs w:val="17"/>
        </w:rPr>
        <w:t>N62-2017</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B51B1C">
        <w:rPr>
          <w:rFonts w:asciiTheme="minorHAnsi" w:hAnsiTheme="minorHAnsi"/>
          <w:b/>
          <w:sz w:val="17"/>
          <w:szCs w:val="17"/>
          <w:lang w:val="es-MX"/>
        </w:rPr>
        <w:t>N62-2017</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Horario de atención de Lunes a Domingo de las 6:00 Hrs a las 00:00 Hrs.</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lastRenderedPageBreak/>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w:t>
      </w:r>
      <w:r w:rsidR="001E6BE8">
        <w:rPr>
          <w:rFonts w:asciiTheme="minorHAnsi" w:hAnsiTheme="minorHAnsi" w:cs="Tahoma"/>
          <w:sz w:val="17"/>
          <w:szCs w:val="17"/>
        </w:rPr>
        <w:t>cará una pena convencional del 4</w:t>
      </w:r>
      <w:r w:rsidRPr="009A4F2F">
        <w:rPr>
          <w:rFonts w:asciiTheme="minorHAnsi" w:hAnsiTheme="minorHAnsi" w:cs="Tahoma"/>
          <w:sz w:val="17"/>
          <w:szCs w:val="17"/>
        </w:rPr>
        <w:t>%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aún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AC" w:rsidRDefault="002438AC" w:rsidP="007F0B73">
      <w:r>
        <w:separator/>
      </w:r>
    </w:p>
  </w:endnote>
  <w:endnote w:type="continuationSeparator" w:id="0">
    <w:p w:rsidR="002438AC" w:rsidRDefault="002438A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5F230B" w:rsidRPr="00CE2E1F" w:rsidRDefault="005F230B" w:rsidP="004C675C">
        <w:pPr>
          <w:pStyle w:val="Piedepgina"/>
          <w:jc w:val="center"/>
          <w:rPr>
            <w:b/>
            <w:color w:val="009999"/>
          </w:rPr>
        </w:pPr>
        <w:r>
          <w:rPr>
            <w:color w:val="009999"/>
          </w:rPr>
          <w:t>_____________________________________________________________________________________________________</w:t>
        </w:r>
      </w:p>
      <w:p w:rsidR="005F230B" w:rsidRDefault="005F230B" w:rsidP="004C675C">
        <w:pPr>
          <w:pStyle w:val="Piedepgina"/>
          <w:ind w:right="-232" w:hanging="284"/>
          <w:jc w:val="center"/>
          <w:rPr>
            <w:rFonts w:ascii="Century Gothic" w:hAnsi="Century Gothic"/>
            <w:b/>
            <w:color w:val="009999"/>
            <w:sz w:val="18"/>
            <w:szCs w:val="14"/>
          </w:rPr>
        </w:pPr>
      </w:p>
      <w:p w:rsidR="005F230B" w:rsidRPr="00CE2E1F" w:rsidRDefault="005F230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F230B" w:rsidRPr="00CE2E1F" w:rsidRDefault="005F230B"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N62-2017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40C4D">
                  <w:rPr>
                    <w:rFonts w:ascii="Century Gothic" w:hAnsi="Century Gothic"/>
                    <w:b/>
                    <w:noProof/>
                    <w:color w:val="009999"/>
                    <w:sz w:val="18"/>
                    <w:szCs w:val="16"/>
                  </w:rPr>
                  <w:t>44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40C4D">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5F230B" w:rsidRPr="00CE2E1F" w:rsidRDefault="002438AC" w:rsidP="004C675C">
        <w:pPr>
          <w:pStyle w:val="Piedepgina"/>
          <w:jc w:val="center"/>
          <w:rPr>
            <w:b/>
            <w:color w:val="009999"/>
          </w:rPr>
        </w:pPr>
      </w:p>
    </w:sdtContent>
  </w:sdt>
  <w:p w:rsidR="005F230B" w:rsidRPr="004C675C" w:rsidRDefault="005F230B" w:rsidP="004C675C">
    <w:pPr>
      <w:pStyle w:val="Piedepgina"/>
    </w:pPr>
  </w:p>
  <w:p w:rsidR="005F230B" w:rsidRDefault="005F230B"/>
  <w:p w:rsidR="005F230B" w:rsidRDefault="005F230B"/>
  <w:p w:rsidR="005F230B" w:rsidRDefault="005F230B"/>
  <w:p w:rsidR="005F230B" w:rsidRDefault="005F230B"/>
  <w:p w:rsidR="005F230B" w:rsidRDefault="005F23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AC" w:rsidRDefault="002438AC" w:rsidP="007F0B73">
      <w:r>
        <w:separator/>
      </w:r>
    </w:p>
  </w:footnote>
  <w:footnote w:type="continuationSeparator" w:id="0">
    <w:p w:rsidR="002438AC" w:rsidRDefault="002438A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0B" w:rsidRPr="00C765F1" w:rsidRDefault="005F230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F230B" w:rsidRPr="00C765F1" w:rsidRDefault="005F230B" w:rsidP="00313C66">
    <w:pPr>
      <w:jc w:val="center"/>
      <w:rPr>
        <w:rFonts w:ascii="Corbel" w:hAnsi="Corbel"/>
        <w:b/>
        <w:szCs w:val="16"/>
      </w:rPr>
    </w:pPr>
    <w:r w:rsidRPr="00C765F1">
      <w:rPr>
        <w:rFonts w:ascii="Corbel" w:hAnsi="Corbel"/>
        <w:b/>
        <w:szCs w:val="16"/>
      </w:rPr>
      <w:t>SERVICIOS DE SALUD DE NUEVO LEÓN</w:t>
    </w:r>
  </w:p>
  <w:p w:rsidR="005F230B" w:rsidRPr="00180FA7" w:rsidRDefault="005F230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F230B" w:rsidRDefault="005F230B"/>
  <w:p w:rsidR="005F230B" w:rsidRDefault="005F230B"/>
  <w:p w:rsidR="005F230B" w:rsidRDefault="005F230B"/>
  <w:p w:rsidR="005F230B" w:rsidRDefault="005F230B"/>
  <w:p w:rsidR="005F230B" w:rsidRDefault="005F23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0"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4"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23"/>
  </w:num>
  <w:num w:numId="4">
    <w:abstractNumId w:val="36"/>
  </w:num>
  <w:num w:numId="5">
    <w:abstractNumId w:val="6"/>
  </w:num>
  <w:num w:numId="6">
    <w:abstractNumId w:val="0"/>
  </w:num>
  <w:num w:numId="7">
    <w:abstractNumId w:val="16"/>
  </w:num>
  <w:num w:numId="8">
    <w:abstractNumId w:val="14"/>
  </w:num>
  <w:num w:numId="9">
    <w:abstractNumId w:val="31"/>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8"/>
  </w:num>
  <w:num w:numId="17">
    <w:abstractNumId w:val="26"/>
  </w:num>
  <w:num w:numId="18">
    <w:abstractNumId w:val="25"/>
  </w:num>
  <w:num w:numId="19">
    <w:abstractNumId w:val="24"/>
  </w:num>
  <w:num w:numId="20">
    <w:abstractNumId w:val="42"/>
  </w:num>
  <w:num w:numId="21">
    <w:abstractNumId w:val="10"/>
  </w:num>
  <w:num w:numId="22">
    <w:abstractNumId w:val="27"/>
  </w:num>
  <w:num w:numId="23">
    <w:abstractNumId w:val="43"/>
  </w:num>
  <w:num w:numId="24">
    <w:abstractNumId w:val="37"/>
  </w:num>
  <w:num w:numId="25">
    <w:abstractNumId w:val="21"/>
  </w:num>
  <w:num w:numId="26">
    <w:abstractNumId w:val="8"/>
  </w:num>
  <w:num w:numId="27">
    <w:abstractNumId w:val="29"/>
  </w:num>
  <w:num w:numId="28">
    <w:abstractNumId w:val="20"/>
  </w:num>
  <w:num w:numId="29">
    <w:abstractNumId w:val="44"/>
  </w:num>
  <w:num w:numId="30">
    <w:abstractNumId w:val="7"/>
  </w:num>
  <w:num w:numId="31">
    <w:abstractNumId w:val="35"/>
  </w:num>
  <w:num w:numId="32">
    <w:abstractNumId w:val="38"/>
  </w:num>
  <w:num w:numId="33">
    <w:abstractNumId w:val="40"/>
  </w:num>
  <w:num w:numId="34">
    <w:abstractNumId w:val="15"/>
  </w:num>
  <w:num w:numId="35">
    <w:abstractNumId w:val="33"/>
  </w:num>
  <w:num w:numId="36">
    <w:abstractNumId w:val="18"/>
  </w:num>
  <w:num w:numId="37">
    <w:abstractNumId w:val="34"/>
  </w:num>
  <w:num w:numId="38">
    <w:abstractNumId w:val="30"/>
  </w:num>
  <w:num w:numId="39">
    <w:abstractNumId w:val="32"/>
  </w:num>
  <w:num w:numId="4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1007"/>
    <w:rsid w:val="000348C5"/>
    <w:rsid w:val="00037DE1"/>
    <w:rsid w:val="00040C4D"/>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0660"/>
    <w:rsid w:val="00113156"/>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387"/>
    <w:rsid w:val="001A154A"/>
    <w:rsid w:val="001A2B75"/>
    <w:rsid w:val="001A3AC3"/>
    <w:rsid w:val="001A6EAA"/>
    <w:rsid w:val="001B5AF2"/>
    <w:rsid w:val="001C147E"/>
    <w:rsid w:val="001C24ED"/>
    <w:rsid w:val="001C2CDE"/>
    <w:rsid w:val="001C7D4C"/>
    <w:rsid w:val="001D05DE"/>
    <w:rsid w:val="001D45A1"/>
    <w:rsid w:val="001E66DB"/>
    <w:rsid w:val="001E6B43"/>
    <w:rsid w:val="001E6BE8"/>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3262D"/>
    <w:rsid w:val="00232672"/>
    <w:rsid w:val="00235398"/>
    <w:rsid w:val="002438AC"/>
    <w:rsid w:val="00250FC6"/>
    <w:rsid w:val="00252C3D"/>
    <w:rsid w:val="00262420"/>
    <w:rsid w:val="00262CA6"/>
    <w:rsid w:val="00263BDA"/>
    <w:rsid w:val="00266E4C"/>
    <w:rsid w:val="00266EEA"/>
    <w:rsid w:val="00267C25"/>
    <w:rsid w:val="002752D3"/>
    <w:rsid w:val="0027668D"/>
    <w:rsid w:val="00277106"/>
    <w:rsid w:val="00280B21"/>
    <w:rsid w:val="0028407E"/>
    <w:rsid w:val="00284F3E"/>
    <w:rsid w:val="00286D6C"/>
    <w:rsid w:val="00287D5B"/>
    <w:rsid w:val="00291340"/>
    <w:rsid w:val="00297643"/>
    <w:rsid w:val="002A290C"/>
    <w:rsid w:val="002B2579"/>
    <w:rsid w:val="002B6BE9"/>
    <w:rsid w:val="002C0C5A"/>
    <w:rsid w:val="002C0FDC"/>
    <w:rsid w:val="002C1A9E"/>
    <w:rsid w:val="002D0FCB"/>
    <w:rsid w:val="002D593A"/>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3E4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7CE4"/>
    <w:rsid w:val="003D75D9"/>
    <w:rsid w:val="003E2381"/>
    <w:rsid w:val="003E4D22"/>
    <w:rsid w:val="003E6595"/>
    <w:rsid w:val="003F0BD1"/>
    <w:rsid w:val="003F2962"/>
    <w:rsid w:val="004017C9"/>
    <w:rsid w:val="00406379"/>
    <w:rsid w:val="0040777D"/>
    <w:rsid w:val="0041098D"/>
    <w:rsid w:val="004110B0"/>
    <w:rsid w:val="00415180"/>
    <w:rsid w:val="00415612"/>
    <w:rsid w:val="0041639A"/>
    <w:rsid w:val="0041641A"/>
    <w:rsid w:val="00417F7B"/>
    <w:rsid w:val="00427176"/>
    <w:rsid w:val="00431510"/>
    <w:rsid w:val="00431A2C"/>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262C"/>
    <w:rsid w:val="004851BF"/>
    <w:rsid w:val="004871CF"/>
    <w:rsid w:val="0049243D"/>
    <w:rsid w:val="004A4C14"/>
    <w:rsid w:val="004B2D24"/>
    <w:rsid w:val="004B334B"/>
    <w:rsid w:val="004B3FCD"/>
    <w:rsid w:val="004B4AB7"/>
    <w:rsid w:val="004C220F"/>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0B"/>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7831"/>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3BA2"/>
    <w:rsid w:val="008A0301"/>
    <w:rsid w:val="008B1AF9"/>
    <w:rsid w:val="008B470B"/>
    <w:rsid w:val="008B58D8"/>
    <w:rsid w:val="008B695F"/>
    <w:rsid w:val="008B698D"/>
    <w:rsid w:val="008C13EE"/>
    <w:rsid w:val="008D17B5"/>
    <w:rsid w:val="008D548E"/>
    <w:rsid w:val="008D592B"/>
    <w:rsid w:val="008E4DDD"/>
    <w:rsid w:val="008F083A"/>
    <w:rsid w:val="008F1241"/>
    <w:rsid w:val="008F4E54"/>
    <w:rsid w:val="008F6C49"/>
    <w:rsid w:val="00904B71"/>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331F3"/>
    <w:rsid w:val="00A41739"/>
    <w:rsid w:val="00A41CE2"/>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2704D"/>
    <w:rsid w:val="00B32CA1"/>
    <w:rsid w:val="00B334CE"/>
    <w:rsid w:val="00B33781"/>
    <w:rsid w:val="00B35032"/>
    <w:rsid w:val="00B36678"/>
    <w:rsid w:val="00B36C7C"/>
    <w:rsid w:val="00B37969"/>
    <w:rsid w:val="00B37CE3"/>
    <w:rsid w:val="00B411FB"/>
    <w:rsid w:val="00B43A0B"/>
    <w:rsid w:val="00B4493D"/>
    <w:rsid w:val="00B51B1C"/>
    <w:rsid w:val="00B56FE4"/>
    <w:rsid w:val="00B62A5E"/>
    <w:rsid w:val="00B64229"/>
    <w:rsid w:val="00B65DA6"/>
    <w:rsid w:val="00B66AA9"/>
    <w:rsid w:val="00B70304"/>
    <w:rsid w:val="00B70781"/>
    <w:rsid w:val="00B7261F"/>
    <w:rsid w:val="00B73968"/>
    <w:rsid w:val="00B81B08"/>
    <w:rsid w:val="00B82FB5"/>
    <w:rsid w:val="00B906DD"/>
    <w:rsid w:val="00B911F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0944"/>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2C65"/>
    <w:rsid w:val="00DB69DA"/>
    <w:rsid w:val="00DB77E2"/>
    <w:rsid w:val="00DB7B88"/>
    <w:rsid w:val="00DC237B"/>
    <w:rsid w:val="00DC2E83"/>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636F"/>
    <w:rsid w:val="00EA0C6B"/>
    <w:rsid w:val="00EA4456"/>
    <w:rsid w:val="00EA7EF6"/>
    <w:rsid w:val="00EB135E"/>
    <w:rsid w:val="00EB5703"/>
    <w:rsid w:val="00EC0FE3"/>
    <w:rsid w:val="00EC225E"/>
    <w:rsid w:val="00EC47BC"/>
    <w:rsid w:val="00EC70A5"/>
    <w:rsid w:val="00EE5326"/>
    <w:rsid w:val="00EE5F02"/>
    <w:rsid w:val="00EE6430"/>
    <w:rsid w:val="00EE7325"/>
    <w:rsid w:val="00EF115D"/>
    <w:rsid w:val="00EF17F7"/>
    <w:rsid w:val="00EF2025"/>
    <w:rsid w:val="00EF2AB1"/>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6E15"/>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6317269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AE09-EF92-45C8-97DF-8780CA8D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18366</Words>
  <Characters>101014</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2016-01-19T23:18:00Z</cp:lastPrinted>
  <dcterms:created xsi:type="dcterms:W3CDTF">2017-12-02T00:50:00Z</dcterms:created>
  <dcterms:modified xsi:type="dcterms:W3CDTF">2017-12-04T22:47:00Z</dcterms:modified>
</cp:coreProperties>
</file>