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8B4811">
        <w:rPr>
          <w:rFonts w:ascii="Meiryo" w:eastAsia="Meiryo" w:hAnsi="Meiryo" w:cs="Meiryo"/>
          <w:color w:val="33CCCC"/>
          <w:sz w:val="28"/>
          <w:szCs w:val="28"/>
          <w:lang w:val="es-ES" w:eastAsia="en-US"/>
        </w:rPr>
        <w:t>N35</w:t>
      </w:r>
      <w:r w:rsidRPr="001B5AF2">
        <w:rPr>
          <w:rFonts w:ascii="Meiryo" w:eastAsia="Meiryo" w:hAnsi="Meiryo" w:cs="Meiryo"/>
          <w:color w:val="33CCCC"/>
          <w:sz w:val="28"/>
          <w:szCs w:val="28"/>
          <w:lang w:val="es-ES" w:eastAsia="en-US"/>
        </w:rPr>
        <w:t>-201</w:t>
      </w:r>
      <w:r w:rsidR="00850AE5">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 xml:space="preserve">SERVICIO DE NUTRICIÓN PARA EL HOSPITAL REGIONAL </w:t>
      </w:r>
      <w:r w:rsidR="008B4811">
        <w:rPr>
          <w:rFonts w:ascii="Arial Black" w:hAnsi="Arial Black"/>
          <w:b/>
          <w:color w:val="33CCCC"/>
          <w:sz w:val="36"/>
          <w:szCs w:val="28"/>
        </w:rPr>
        <w:t xml:space="preserve">DE ALTA ESPECIALIDAD </w:t>
      </w:r>
      <w:r w:rsidR="00850AE5" w:rsidRPr="00850AE5">
        <w:rPr>
          <w:rFonts w:ascii="Arial Black" w:hAnsi="Arial Black"/>
          <w:b/>
          <w:color w:val="33CCCC"/>
          <w:sz w:val="36"/>
          <w:szCs w:val="28"/>
        </w:rPr>
        <w:t>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B4811">
        <w:rPr>
          <w:rFonts w:asciiTheme="minorHAnsi" w:hAnsiTheme="minorHAnsi" w:cs="Arial"/>
        </w:rPr>
        <w:t>N35</w:t>
      </w:r>
      <w:r w:rsidR="0098036D">
        <w:rPr>
          <w:rFonts w:asciiTheme="minorHAnsi" w:hAnsiTheme="minorHAnsi" w:cs="Arial"/>
        </w:rPr>
        <w:t>-</w:t>
      </w:r>
      <w:r w:rsidR="003179CA" w:rsidRPr="0078059E">
        <w:rPr>
          <w:rFonts w:asciiTheme="minorHAnsi" w:hAnsiTheme="minorHAnsi" w:cs="Arial"/>
        </w:rPr>
        <w:t>201</w:t>
      </w:r>
      <w:r w:rsidR="00850AE5">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 PARA EL HOSPITAL REGIONAL DE ALTA ESPECIALIDAD MATERNO INFANTIL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el A</w:t>
      </w:r>
      <w:r w:rsidR="0058000A" w:rsidRPr="000F54D5">
        <w:rPr>
          <w:rFonts w:asciiTheme="minorHAnsi" w:hAnsiTheme="minorHAnsi"/>
        </w:rPr>
        <w:t xml:space="preserve">rtículo </w:t>
      </w:r>
      <w:r w:rsidR="000F54D5" w:rsidRPr="000F54D5">
        <w:rPr>
          <w:rFonts w:asciiTheme="minorHAnsi" w:hAnsiTheme="minorHAnsi"/>
        </w:rPr>
        <w:t>5</w:t>
      </w:r>
      <w:r w:rsidR="00B32CA1" w:rsidRPr="000F54D5">
        <w:rPr>
          <w:rFonts w:asciiTheme="minorHAnsi" w:hAnsiTheme="minorHAnsi"/>
        </w:rPr>
        <w:t>°</w:t>
      </w:r>
      <w:r w:rsidRPr="000F54D5">
        <w:rPr>
          <w:rFonts w:asciiTheme="minorHAnsi" w:hAnsiTheme="minorHAnsi"/>
        </w:rPr>
        <w:t xml:space="preserve"> </w:t>
      </w:r>
      <w:r w:rsidRPr="000F54D5">
        <w:rPr>
          <w:rFonts w:asciiTheme="minorHAnsi" w:hAnsiTheme="minorHAnsi" w:cs="Arial"/>
        </w:rPr>
        <w:t>de la Ley de Egresos para el año del 201</w:t>
      </w:r>
      <w:r w:rsidR="000F54D5" w:rsidRPr="000F54D5">
        <w:rPr>
          <w:rFonts w:asciiTheme="minorHAnsi" w:hAnsiTheme="minorHAnsi" w:cs="Arial"/>
        </w:rPr>
        <w:t>6</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8B4811">
        <w:rPr>
          <w:rFonts w:asciiTheme="minorHAnsi" w:hAnsiTheme="minorHAnsi" w:cs="Arial"/>
        </w:rPr>
        <w:t>N35</w:t>
      </w:r>
      <w:r w:rsidR="00D479E2" w:rsidRPr="000F54D5">
        <w:rPr>
          <w:rFonts w:asciiTheme="minorHAnsi" w:hAnsiTheme="minorHAnsi" w:cs="Arial"/>
        </w:rPr>
        <w:t>-201</w:t>
      </w:r>
      <w:r w:rsidR="00850AE5" w:rsidRPr="000F54D5">
        <w:rPr>
          <w:rFonts w:asciiTheme="minorHAnsi" w:hAnsiTheme="minorHAnsi" w:cs="Arial"/>
        </w:rPr>
        <w:t>6</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 PARA EL HOSPITAL REGIONAL DE ALTA ESPECIALIDAD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B4811">
        <w:rPr>
          <w:rFonts w:asciiTheme="minorHAnsi" w:hAnsiTheme="minorHAnsi" w:cs="Arial"/>
        </w:rPr>
        <w:t>N35</w:t>
      </w:r>
      <w:r w:rsidR="0098036D">
        <w:rPr>
          <w:rFonts w:asciiTheme="minorHAnsi" w:hAnsiTheme="minorHAnsi" w:cs="Arial"/>
        </w:rPr>
        <w:t>-</w:t>
      </w:r>
      <w:r w:rsidRPr="0078059E">
        <w:rPr>
          <w:rFonts w:asciiTheme="minorHAnsi" w:hAnsiTheme="minorHAnsi" w:cs="Arial"/>
        </w:rPr>
        <w:t>201</w:t>
      </w:r>
      <w:r w:rsidR="00850AE5">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w:t>
      </w:r>
      <w:r w:rsidR="00987D05">
        <w:rPr>
          <w:rFonts w:asciiTheme="minorHAnsi" w:hAnsiTheme="minorHAnsi"/>
        </w:rPr>
        <w:t>Aportación Solidaria Estatal</w:t>
      </w:r>
      <w:r w:rsidR="00A02DCA">
        <w:rPr>
          <w:rFonts w:asciiTheme="minorHAnsi" w:hAnsiTheme="minorHAnsi"/>
        </w:rPr>
        <w:t xml:space="preserve">, tipo de presupuesto </w:t>
      </w:r>
      <w:r w:rsidR="00987D05">
        <w:rPr>
          <w:rFonts w:asciiTheme="minorHAnsi" w:hAnsiTheme="minorHAnsi"/>
        </w:rPr>
        <w:t>303006</w:t>
      </w:r>
      <w:r w:rsidR="00A02DCA">
        <w:rPr>
          <w:rFonts w:asciiTheme="minorHAnsi" w:hAnsiTheme="minorHAnsi"/>
        </w:rPr>
        <w:t xml:space="preserve">, </w:t>
      </w:r>
      <w:r w:rsidR="00850AE5" w:rsidRPr="00C063DD">
        <w:rPr>
          <w:rFonts w:asciiTheme="minorHAnsi" w:hAnsiTheme="minorHAnsi"/>
        </w:rPr>
        <w:t>Partida 22102, Programa 020508, unidad 2220 Hospital Regional Materno Infantil</w:t>
      </w:r>
      <w:r w:rsidR="00A02DCA">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el Anexo 1 de estas bases, se señalan la descripción y cantidades de alimentos que se requieren para atender a los pacientes del  Hospital Regional de Alta Especialidad Materno Infantil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presente concurso, corresponden a la  información enviada  y avalada por el Director del Hospital</w:t>
      </w:r>
      <w:r w:rsidR="00570165">
        <w:rPr>
          <w:rFonts w:asciiTheme="minorHAnsi" w:hAnsiTheme="minorHAnsi" w:cs="Arial"/>
        </w:rPr>
        <w:t xml:space="preserve"> Regional Materno Infantil</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lastRenderedPageBreak/>
        <w:t xml:space="preserve">Los </w:t>
      </w:r>
      <w:r w:rsidRPr="00802CD0">
        <w:rPr>
          <w:rFonts w:asciiTheme="minorHAnsi" w:hAnsiTheme="minorHAnsi" w:cs="Arial"/>
        </w:rPr>
        <w:t>licitantes deberán contar con aviso de funcionamiento del local donde se preparan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y/o distribución de insumos alimenticios.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a más tardar en un rango de 60 a 90</w:t>
      </w:r>
      <w:r w:rsidR="00937271" w:rsidRPr="00987D05">
        <w:rPr>
          <w:rFonts w:asciiTheme="minorHAnsi" w:hAnsiTheme="minorHAnsi" w:cs="Arial"/>
        </w:rPr>
        <w:t xml:space="preserve"> Minutos.</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del Hospital Regional Materno Infantil,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C17DC4" w:rsidRPr="000224F3" w:rsidRDefault="00C17DC4"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B4811">
        <w:rPr>
          <w:rFonts w:asciiTheme="minorHAnsi" w:hAnsiTheme="minorHAnsi"/>
          <w:sz w:val="20"/>
        </w:rPr>
        <w:t xml:space="preserve">El servicio se prestará a partir </w:t>
      </w:r>
      <w:r w:rsidR="00850AE5" w:rsidRPr="008B4811">
        <w:rPr>
          <w:rFonts w:asciiTheme="minorHAnsi" w:hAnsiTheme="minorHAnsi"/>
          <w:sz w:val="20"/>
        </w:rPr>
        <w:t xml:space="preserve">del </w:t>
      </w:r>
      <w:r w:rsidR="008B4811" w:rsidRPr="008B4811">
        <w:rPr>
          <w:rFonts w:asciiTheme="minorHAnsi" w:hAnsiTheme="minorHAnsi"/>
          <w:sz w:val="20"/>
        </w:rPr>
        <w:t>24 de Octubre del 2016</w:t>
      </w:r>
      <w:r w:rsidRPr="008B4811">
        <w:rPr>
          <w:rFonts w:asciiTheme="minorHAnsi" w:hAnsiTheme="minorHAnsi"/>
          <w:sz w:val="20"/>
        </w:rPr>
        <w:t xml:space="preserve"> al </w:t>
      </w:r>
      <w:r w:rsidR="00896288" w:rsidRPr="008B4811">
        <w:rPr>
          <w:rFonts w:asciiTheme="minorHAnsi" w:hAnsiTheme="minorHAnsi"/>
          <w:sz w:val="20"/>
        </w:rPr>
        <w:t>31</w:t>
      </w:r>
      <w:r w:rsidRPr="008B4811">
        <w:rPr>
          <w:rFonts w:asciiTheme="minorHAnsi" w:hAnsiTheme="minorHAnsi"/>
          <w:sz w:val="20"/>
        </w:rPr>
        <w:t xml:space="preserve"> de</w:t>
      </w:r>
      <w:r w:rsidR="00987D05" w:rsidRPr="008B4811">
        <w:rPr>
          <w:rFonts w:asciiTheme="minorHAnsi" w:hAnsiTheme="minorHAnsi"/>
          <w:sz w:val="20"/>
        </w:rPr>
        <w:t xml:space="preserve"> Diciembre del 2016</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850AE5">
        <w:tc>
          <w:tcPr>
            <w:tcW w:w="3614"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Hospital Regional Materno Infantil</w:t>
            </w:r>
          </w:p>
        </w:tc>
        <w:tc>
          <w:tcPr>
            <w:tcW w:w="6177"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Calle Aldama No. 460, entre Independencia y 18 de Marzo Col. San Rafael en Guadalupe, N.L</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La documentación deberá haber sido expedida en </w:t>
      </w:r>
      <w:r w:rsidR="00F32D4A">
        <w:rPr>
          <w:rFonts w:asciiTheme="minorHAnsi" w:hAnsiTheme="minorHAnsi" w:cs="Arial"/>
        </w:rPr>
        <w:t>los últimos doce meses</w:t>
      </w:r>
      <w:r w:rsidRPr="00CC0069">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Materno Infantil.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P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lastRenderedPageBreak/>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del Hospital Regional de Alta Especialidad Materno Infantil 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la prestación del servicio de alimentos, el licitante que resulte adjudicado, proporcionará los utensilios necesarios para el transporte, almacenamiento, preparación y distribución de  alimentos para los pacientes  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del hospital</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Correrá a cargo del Hospital la cantidad que resulte por el consumo de energía eléctrica  suministro de agua, de gas y teléfono que genere el área  recepción de alimentos durante la vigencia del contrato respectivo, así como proporcionar los  espacios físicos para tal fin.</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Hospital entregará a la empresa las bolsas con las características específicas para la alimentación enteral (dietas licuadas).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El Hospital proporcionara área suficiente dentro del mismo para el montaje de los alimentos y para la guarda de carros para el traslado de alimentos, así como el espacio físico en el área de estacionamiento para la carga y descarga de insumos.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del Hospital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proofErr w:type="spellStart"/>
      <w:r w:rsidRPr="005C35E4">
        <w:rPr>
          <w:rFonts w:ascii="Calibri" w:hAnsi="Calibri" w:cs="Arial"/>
        </w:rPr>
        <w:t>preescrita</w:t>
      </w:r>
      <w:proofErr w:type="spellEnd"/>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5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830844">
        <w:rPr>
          <w:rFonts w:ascii="Calibri" w:hAnsi="Calibri" w:cs="Arial"/>
        </w:rPr>
        <w:t>-</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Departamento de Nutrición y Dietética del hospital será el encargado de supervisar que los alimentos preparados y servidos por el licitante cumplan con todas las disposiciones higiénicas y dietéticas.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5312C0" w:rsidRPr="005C35E4" w:rsidRDefault="005312C0" w:rsidP="005312C0">
      <w:pPr>
        <w:pStyle w:val="Prrafodelista"/>
        <w:ind w:left="1429" w:right="-1"/>
        <w:jc w:val="both"/>
        <w:rPr>
          <w:rFonts w:ascii="Calibri" w:hAnsi="Calibri" w:cs="Arial"/>
          <w:b/>
        </w:rPr>
      </w:pPr>
    </w:p>
    <w:p w:rsidR="005312C0" w:rsidRPr="005C35E4" w:rsidRDefault="005312C0" w:rsidP="005312C0">
      <w:pPr>
        <w:pStyle w:val="Prrafodelista"/>
        <w:numPr>
          <w:ilvl w:val="0"/>
          <w:numId w:val="36"/>
        </w:numPr>
        <w:ind w:right="-1"/>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5312C0" w:rsidRPr="005C35E4" w:rsidRDefault="005312C0" w:rsidP="005312C0">
      <w:pPr>
        <w:pStyle w:val="Prrafodelista"/>
        <w:numPr>
          <w:ilvl w:val="0"/>
          <w:numId w:val="36"/>
        </w:numPr>
        <w:ind w:right="-1"/>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5312C0" w:rsidRDefault="005312C0" w:rsidP="005312C0">
      <w:pPr>
        <w:pStyle w:val="Prrafodelista"/>
        <w:numPr>
          <w:ilvl w:val="0"/>
          <w:numId w:val="36"/>
        </w:numPr>
        <w:ind w:right="-1"/>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30844" w:rsidRDefault="005312C0" w:rsidP="00830844">
      <w:pPr>
        <w:pStyle w:val="Prrafodelista"/>
        <w:numPr>
          <w:ilvl w:val="0"/>
          <w:numId w:val="36"/>
        </w:numPr>
        <w:ind w:right="-1"/>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830844" w:rsidRDefault="005312C0" w:rsidP="00830844">
      <w:pPr>
        <w:pStyle w:val="Prrafodelista"/>
        <w:numPr>
          <w:ilvl w:val="0"/>
          <w:numId w:val="36"/>
        </w:numPr>
        <w:ind w:right="-1"/>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5312C0" w:rsidRPr="00830844" w:rsidRDefault="005312C0" w:rsidP="00830844">
      <w:pPr>
        <w:pStyle w:val="Prrafodelista"/>
        <w:numPr>
          <w:ilvl w:val="0"/>
          <w:numId w:val="36"/>
        </w:numPr>
        <w:ind w:right="-1"/>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5312C0" w:rsidRDefault="005312C0" w:rsidP="005312C0">
      <w:pPr>
        <w:pStyle w:val="Prrafodelista"/>
        <w:ind w:left="1429" w:right="-1"/>
        <w:jc w:val="both"/>
        <w:rPr>
          <w:rFonts w:ascii="Calibri" w:hAnsi="Calibri" w:cs="Arial"/>
        </w:rPr>
      </w:pPr>
    </w:p>
    <w:p w:rsidR="005312C0" w:rsidRPr="000B1FDA" w:rsidRDefault="005312C0" w:rsidP="005312C0">
      <w:pPr>
        <w:pStyle w:val="Prrafodelista"/>
        <w:ind w:left="1636" w:right="-1"/>
        <w:jc w:val="both"/>
        <w:rPr>
          <w:rFonts w:ascii="Calibri" w:hAnsi="Calibri" w:cs="Arial"/>
          <w:b/>
          <w:color w:val="FF0000"/>
          <w:u w:val="single"/>
        </w:rPr>
      </w:pPr>
    </w:p>
    <w:p w:rsidR="005312C0" w:rsidRPr="005C35E4" w:rsidRDefault="005312C0" w:rsidP="005312C0">
      <w:pPr>
        <w:pStyle w:val="Prrafodelista"/>
        <w:ind w:left="1789" w:right="-1"/>
        <w:jc w:val="both"/>
        <w:rPr>
          <w:rFonts w:ascii="Calibri" w:hAnsi="Calibri" w:cs="Arial"/>
        </w:rPr>
      </w:pPr>
    </w:p>
    <w:p w:rsidR="005312C0" w:rsidRPr="00830844" w:rsidRDefault="005312C0" w:rsidP="005312C0">
      <w:pPr>
        <w:pStyle w:val="Prrafodelista"/>
        <w:ind w:left="1429" w:right="-1"/>
        <w:jc w:val="both"/>
        <w:rPr>
          <w:rFonts w:ascii="Calibri" w:hAnsi="Calibri" w:cs="Arial"/>
          <w:b/>
        </w:rPr>
      </w:pPr>
      <w:r w:rsidRPr="005C35E4">
        <w:rPr>
          <w:rFonts w:ascii="Calibri" w:hAnsi="Calibri" w:cs="Arial"/>
          <w:i/>
          <w:u w:val="single"/>
        </w:rPr>
        <w:lastRenderedPageBreak/>
        <w:t>Los menús de personal deberán de incluir</w:t>
      </w:r>
      <w:r>
        <w:rPr>
          <w:rFonts w:ascii="Calibri" w:hAnsi="Calibri" w:cs="Arial"/>
        </w:rPr>
        <w:t xml:space="preserve"> </w:t>
      </w:r>
      <w:r w:rsidRPr="00830844">
        <w:rPr>
          <w:rFonts w:ascii="Calibri" w:hAnsi="Calibri" w:cs="Arial"/>
          <w:b/>
        </w:rPr>
        <w:t>(1 sola opción de cada rubro)</w:t>
      </w:r>
    </w:p>
    <w:p w:rsidR="005312C0" w:rsidRPr="005C35E4" w:rsidRDefault="005312C0" w:rsidP="005312C0">
      <w:pPr>
        <w:pStyle w:val="Prrafodelista"/>
        <w:ind w:left="1429" w:right="-1"/>
        <w:jc w:val="both"/>
        <w:rPr>
          <w:rFonts w:ascii="Calibri" w:hAnsi="Calibri" w:cs="Arial"/>
          <w:b/>
        </w:rPr>
      </w:pPr>
    </w:p>
    <w:p w:rsidR="005312C0" w:rsidRPr="005C35E4" w:rsidRDefault="005312C0" w:rsidP="005312C0">
      <w:pPr>
        <w:pStyle w:val="Prrafodelista"/>
        <w:numPr>
          <w:ilvl w:val="0"/>
          <w:numId w:val="37"/>
        </w:numPr>
        <w:ind w:right="-1"/>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5312C0" w:rsidRPr="005C35E4" w:rsidRDefault="005312C0" w:rsidP="005312C0">
      <w:pPr>
        <w:pStyle w:val="Prrafodelista"/>
        <w:numPr>
          <w:ilvl w:val="0"/>
          <w:numId w:val="37"/>
        </w:numPr>
        <w:ind w:right="-1"/>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830844" w:rsidRDefault="005312C0" w:rsidP="00830844">
      <w:pPr>
        <w:pStyle w:val="Prrafodelista"/>
        <w:numPr>
          <w:ilvl w:val="0"/>
          <w:numId w:val="37"/>
        </w:numPr>
        <w:ind w:right="-1"/>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830844" w:rsidRPr="00830844" w:rsidRDefault="005312C0" w:rsidP="00830844">
      <w:pPr>
        <w:pStyle w:val="Prrafodelista"/>
        <w:numPr>
          <w:ilvl w:val="0"/>
          <w:numId w:val="37"/>
        </w:numPr>
        <w:ind w:right="-1"/>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r>
      <w:r w:rsidRPr="00830844">
        <w:rPr>
          <w:rFonts w:ascii="Calibri" w:hAnsi="Calibri" w:cs="Arial"/>
        </w:rPr>
        <w:tab/>
        <w:t xml:space="preserve">Arroz, frijoles, puré de papas, verduras a la mantequilla,  spaghetti, papas a la francesa, ensalada verde </w:t>
      </w:r>
      <w:proofErr w:type="spellStart"/>
      <w:r w:rsidRPr="00830844">
        <w:rPr>
          <w:rFonts w:ascii="Calibri" w:hAnsi="Calibri" w:cs="Arial"/>
        </w:rPr>
        <w:t>etc</w:t>
      </w:r>
      <w:proofErr w:type="spellEnd"/>
    </w:p>
    <w:p w:rsidR="00830844" w:rsidRDefault="005312C0" w:rsidP="00830844">
      <w:pPr>
        <w:pStyle w:val="Prrafodelista"/>
        <w:numPr>
          <w:ilvl w:val="0"/>
          <w:numId w:val="37"/>
        </w:numPr>
        <w:ind w:right="-1"/>
        <w:jc w:val="both"/>
        <w:rPr>
          <w:rFonts w:ascii="Calibri" w:hAnsi="Calibri" w:cs="Arial"/>
        </w:rPr>
      </w:pPr>
      <w:r w:rsidRPr="00830844">
        <w:rPr>
          <w:rFonts w:ascii="Calibri" w:hAnsi="Calibri" w:cs="Arial"/>
          <w:b/>
        </w:rPr>
        <w:t>Complementos:</w:t>
      </w:r>
      <w:r w:rsidRPr="00830844">
        <w:rPr>
          <w:rFonts w:ascii="Calibri" w:hAnsi="Calibri" w:cs="Arial"/>
        </w:rPr>
        <w:t xml:space="preserve"> </w:t>
      </w:r>
      <w:r w:rsidRPr="00830844">
        <w:rPr>
          <w:rFonts w:ascii="Calibri" w:hAnsi="Calibri" w:cs="Arial"/>
        </w:rPr>
        <w:tab/>
      </w:r>
      <w:r w:rsidRPr="00830844">
        <w:rPr>
          <w:rFonts w:ascii="Calibri" w:hAnsi="Calibri" w:cs="Arial"/>
        </w:rPr>
        <w:tab/>
        <w:t>Pan, tortillas de maíz o harina,  galletas saladas,</w:t>
      </w:r>
      <w:r w:rsidR="00830844">
        <w:rPr>
          <w:rFonts w:ascii="Calibri" w:hAnsi="Calibri" w:cs="Arial"/>
        </w:rPr>
        <w:t xml:space="preserve"> salsa, chiles en vinagre, etc.</w:t>
      </w:r>
    </w:p>
    <w:p w:rsidR="005312C0" w:rsidRPr="00830844" w:rsidRDefault="005312C0" w:rsidP="00830844">
      <w:pPr>
        <w:pStyle w:val="Prrafodelista"/>
        <w:numPr>
          <w:ilvl w:val="0"/>
          <w:numId w:val="37"/>
        </w:numPr>
        <w:ind w:right="-1"/>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5312C0" w:rsidRDefault="005312C0" w:rsidP="005312C0">
      <w:pPr>
        <w:pStyle w:val="Prrafodelista"/>
        <w:ind w:left="1429" w:right="-1"/>
        <w:jc w:val="both"/>
        <w:rPr>
          <w:rFonts w:ascii="Calibri" w:hAnsi="Calibri" w:cs="Arial"/>
          <w:b/>
        </w:rPr>
      </w:pPr>
    </w:p>
    <w:p w:rsidR="005312C0" w:rsidRDefault="005312C0" w:rsidP="005312C0">
      <w:pPr>
        <w:pStyle w:val="Prrafodelista"/>
        <w:ind w:left="1429" w:right="-1"/>
        <w:rPr>
          <w:rFonts w:ascii="Calibri" w:hAnsi="Calibri" w:cs="Arial"/>
          <w:b/>
        </w:rPr>
      </w:pPr>
    </w:p>
    <w:p w:rsidR="005312C0" w:rsidRPr="00830844" w:rsidRDefault="005312C0" w:rsidP="00830844">
      <w:pPr>
        <w:pStyle w:val="Prrafodelista"/>
        <w:ind w:left="1429" w:right="-1"/>
        <w:jc w:val="center"/>
        <w:rPr>
          <w:rFonts w:ascii="Calibri" w:hAnsi="Calibri" w:cs="Arial"/>
          <w:b/>
        </w:rPr>
      </w:pPr>
      <w:r w:rsidRPr="00830844">
        <w:rPr>
          <w:rFonts w:ascii="Calibri" w:hAnsi="Calibri" w:cs="Arial"/>
          <w:b/>
        </w:rPr>
        <w:t>Porciones a servirse en platillos de pacientes y personal:</w:t>
      </w:r>
    </w:p>
    <w:p w:rsidR="005312C0" w:rsidRPr="00830844" w:rsidRDefault="005312C0" w:rsidP="00830844">
      <w:pPr>
        <w:pStyle w:val="Prrafodelista"/>
        <w:ind w:left="1429" w:right="-1"/>
        <w:jc w:val="center"/>
        <w:rPr>
          <w:rFonts w:ascii="Calibri" w:hAnsi="Calibri" w:cs="Arial"/>
          <w:b/>
        </w:rPr>
      </w:pPr>
      <w:r w:rsidRPr="00830844">
        <w:rPr>
          <w:rFonts w:ascii="Calibri" w:hAnsi="Calibri" w:cs="Arial"/>
          <w:b/>
        </w:rPr>
        <w:t>Plato fuerte 6 oz</w:t>
      </w:r>
    </w:p>
    <w:p w:rsidR="005312C0" w:rsidRPr="00830844" w:rsidRDefault="005312C0" w:rsidP="00830844">
      <w:pPr>
        <w:pStyle w:val="Prrafodelista"/>
        <w:ind w:left="1429" w:right="-1"/>
        <w:jc w:val="center"/>
        <w:rPr>
          <w:rFonts w:ascii="Calibri" w:hAnsi="Calibri" w:cs="Arial"/>
          <w:b/>
        </w:rPr>
      </w:pPr>
      <w:r w:rsidRPr="00830844">
        <w:rPr>
          <w:rFonts w:ascii="Calibri" w:hAnsi="Calibri" w:cs="Arial"/>
          <w:b/>
        </w:rPr>
        <w:t>Guarniciones: 4 oz</w:t>
      </w:r>
    </w:p>
    <w:p w:rsidR="005312C0" w:rsidRPr="00830844" w:rsidRDefault="005312C0" w:rsidP="00830844">
      <w:pPr>
        <w:pStyle w:val="Prrafodelista"/>
        <w:ind w:left="1429" w:right="-1"/>
        <w:jc w:val="center"/>
        <w:rPr>
          <w:rFonts w:ascii="Calibri" w:hAnsi="Calibri" w:cs="Arial"/>
          <w:b/>
        </w:rPr>
      </w:pPr>
      <w:proofErr w:type="gramStart"/>
      <w:r w:rsidRPr="00830844">
        <w:rPr>
          <w:rFonts w:ascii="Calibri" w:hAnsi="Calibri" w:cs="Arial"/>
          <w:b/>
        </w:rPr>
        <w:t>Postres :</w:t>
      </w:r>
      <w:proofErr w:type="gramEnd"/>
      <w:r w:rsidRPr="00830844">
        <w:rPr>
          <w:rFonts w:ascii="Calibri" w:hAnsi="Calibri" w:cs="Arial"/>
          <w:b/>
        </w:rPr>
        <w:t xml:space="preserve"> 4 oz</w:t>
      </w:r>
    </w:p>
    <w:p w:rsidR="00830844" w:rsidRDefault="005312C0" w:rsidP="00830844">
      <w:pPr>
        <w:pStyle w:val="Prrafodelista"/>
        <w:ind w:left="1429" w:right="-1"/>
        <w:jc w:val="center"/>
        <w:rPr>
          <w:rFonts w:ascii="Calibri" w:hAnsi="Calibri" w:cs="Arial"/>
          <w:b/>
        </w:rPr>
      </w:pPr>
      <w:r w:rsidRPr="00830844">
        <w:rPr>
          <w:rFonts w:ascii="Calibri" w:hAnsi="Calibri" w:cs="Arial"/>
          <w:b/>
        </w:rPr>
        <w:t>Bebida: 8 oz</w:t>
      </w:r>
    </w:p>
    <w:p w:rsidR="00850AE5" w:rsidRPr="00830844" w:rsidRDefault="005312C0" w:rsidP="00830844">
      <w:pPr>
        <w:pStyle w:val="Prrafodelista"/>
        <w:ind w:left="1429" w:right="-1"/>
        <w:jc w:val="center"/>
        <w:rPr>
          <w:rFonts w:ascii="Calibri" w:hAnsi="Calibri" w:cs="Arial"/>
          <w:b/>
        </w:rPr>
      </w:pPr>
      <w:r w:rsidRPr="00830844">
        <w:rPr>
          <w:rFonts w:ascii="Calibri" w:hAnsi="Calibri" w:cs="Arial"/>
          <w:b/>
        </w:rPr>
        <w:br/>
      </w: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En las dietas modificadas en consistencia y en nutrientes forman parte de las mismas los suplementos y cenas de media noche de acuerdo al plan dietético que solicite el departamento de nutrición y dietética del Hospital Regional de Alta Especialidad</w:t>
      </w:r>
      <w:r w:rsidRPr="0023450D">
        <w:rPr>
          <w:rFonts w:asciiTheme="minorHAnsi" w:hAnsiTheme="minorHAnsi" w:cs="Arial"/>
        </w:rPr>
        <w:t xml:space="preserve"> </w:t>
      </w:r>
      <w:r>
        <w:rPr>
          <w:rFonts w:asciiTheme="minorHAnsi" w:hAnsiTheme="minorHAnsi" w:cs="Arial"/>
        </w:rPr>
        <w:t>M</w:t>
      </w:r>
      <w:r w:rsidRPr="0023450D">
        <w:rPr>
          <w:rFonts w:asciiTheme="minorHAnsi" w:hAnsiTheme="minorHAnsi" w:cs="Arial"/>
        </w:rPr>
        <w:t xml:space="preserve">aterno </w:t>
      </w:r>
      <w:r>
        <w:rPr>
          <w:rFonts w:asciiTheme="minorHAnsi" w:hAnsiTheme="minorHAnsi" w:cs="Arial"/>
        </w:rPr>
        <w:t>I</w:t>
      </w:r>
      <w:r w:rsidRPr="0023450D">
        <w:rPr>
          <w:rFonts w:asciiTheme="minorHAnsi" w:hAnsiTheme="minorHAnsi" w:cs="Arial"/>
        </w:rPr>
        <w:t>nfantil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 xml:space="preserve">Las actividades en cocina a cargo del licitante para la preparación de los alimentos de acuerdo al menú por día-mes de que se trate,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El Hospital hará una petición previa a las 22 horas del día anterior por parte de la Supervisora de Enfermería del turno nocturno, dicha petición se confirma con las modificaciones correspondientes a las 7:00 horas por parte del personal de Nutrición, la llegada del alimento para el desayuno deberá ser a las 8:00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El horario para el desayuno del personal con derecho a alimentos será de las 7:30 a 10:30 horas por lo que el desayuno para el personal con derecho a alimentos deberá de llegar a las 7:00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alimento para la cena deberá llegar al Hospital a las 17:00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pacientes  debidamente embolsados.</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30844" w:rsidRPr="005C35E4" w:rsidRDefault="00830844" w:rsidP="00830844">
      <w:pPr>
        <w:pStyle w:val="Prrafodelista"/>
        <w:ind w:left="1429" w:right="-1"/>
        <w:jc w:val="both"/>
        <w:rPr>
          <w:rFonts w:ascii="Calibri" w:hAnsi="Calibri" w:cs="Arial"/>
        </w:rPr>
      </w:pPr>
    </w:p>
    <w:p w:rsidR="00850AE5" w:rsidRPr="0069694C"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licitante deberá notificar por escrito al Departamento de Nutrición y Dietética del Hospital de las fallas eléctricas, hidráulicas y de vapor del área de recepción de alimentos para el respectivo mantenimiento por parte del personal del Hospital.</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lastRenderedPageBreak/>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El Comité de la Convocante realizará una visita a las instalaciones de los licitantes para verificar que se cumplan con todas las condiciones requeridas en la presente licitación y se levantará un acta de así lo avale, la cual deberá integrarse a la propuesta correspondiente.</w:t>
      </w:r>
    </w:p>
    <w:p w:rsidR="001B7622" w:rsidRPr="00802CD0" w:rsidRDefault="001B7622" w:rsidP="00850AE5">
      <w:pPr>
        <w:pStyle w:val="Prrafodelista"/>
        <w:ind w:left="1429" w:right="-1"/>
        <w:jc w:val="both"/>
        <w:rPr>
          <w:rFonts w:asciiTheme="minorHAnsi" w:hAnsiTheme="minorHAnsi" w:cs="Arial"/>
          <w:b/>
        </w:rPr>
      </w:pP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La Convocante podrá hacer devoluciones cuando se comprueben deficiencias en la calidad del servicio de Nutrición imputables al licitante adjudicado. La reclamación del servicio será a través del Hospital Regional Materno Infantil</w:t>
      </w:r>
      <w:r w:rsidR="000224F3" w:rsidRPr="002C5387">
        <w:rPr>
          <w:rFonts w:asciiTheme="minorHAnsi" w:hAnsiTheme="minorHAnsi"/>
        </w:rPr>
        <w:t>.</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EF2118">
      <w:pPr>
        <w:numPr>
          <w:ilvl w:val="0"/>
          <w:numId w:val="8"/>
        </w:numPr>
        <w:tabs>
          <w:tab w:val="left" w:pos="1418"/>
        </w:tabs>
        <w:ind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lastRenderedPageBreak/>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w:t>
      </w:r>
      <w:proofErr w:type="gramStart"/>
      <w:r w:rsidR="00987D05" w:rsidRPr="00987D05">
        <w:rPr>
          <w:rFonts w:asciiTheme="minorHAnsi" w:hAnsiTheme="minorHAnsi"/>
        </w:rPr>
        <w:t>,000,0</w:t>
      </w:r>
      <w:r w:rsidR="00A51D29">
        <w:rPr>
          <w:rFonts w:asciiTheme="minorHAnsi" w:hAnsiTheme="minorHAnsi"/>
        </w:rPr>
        <w:t>00.00</w:t>
      </w:r>
      <w:proofErr w:type="gramEnd"/>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 establecido en las regla 2.1.27 de la Miscelánea Fiscal para el Ejercicio 201</w:t>
      </w:r>
      <w:r w:rsidR="00570165" w:rsidRPr="00570165">
        <w:rPr>
          <w:rFonts w:asciiTheme="minorHAnsi" w:hAnsiTheme="minorHAnsi" w:cs="Arial"/>
        </w:rPr>
        <w:t>6</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570165" w:rsidRPr="00570165">
        <w:rPr>
          <w:rFonts w:asciiTheme="minorHAnsi" w:hAnsiTheme="minorHAnsi" w:cs="Arial"/>
        </w:rPr>
        <w:t>5</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w:t>
      </w:r>
      <w:r w:rsidRPr="00B3639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w:t>
      </w:r>
      <w:r w:rsidRPr="000B78E5">
        <w:rPr>
          <w:rFonts w:asciiTheme="minorHAnsi" w:hAnsiTheme="minorHAnsi"/>
        </w:rPr>
        <w:lastRenderedPageBreak/>
        <w:t xml:space="preserve">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Pr="0039320A" w:rsidRDefault="000F54D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D4E0F" w:rsidRDefault="00FD4E0F"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465321" w:rsidRDefault="00465321"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805"/>
        <w:gridCol w:w="7715"/>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A53F2" w:rsidRPr="00D900AE">
        <w:rPr>
          <w:rFonts w:asciiTheme="minorHAnsi" w:hAnsiTheme="minorHAnsi"/>
          <w:color w:val="auto"/>
          <w:sz w:val="20"/>
          <w:szCs w:val="20"/>
        </w:rPr>
        <w:t>03</w:t>
      </w:r>
      <w:r w:rsidRPr="00D900AE">
        <w:rPr>
          <w:rFonts w:asciiTheme="minorHAnsi" w:hAnsiTheme="minorHAnsi"/>
          <w:color w:val="auto"/>
          <w:sz w:val="20"/>
          <w:szCs w:val="20"/>
        </w:rPr>
        <w:t xml:space="preserve"> de </w:t>
      </w:r>
      <w:r w:rsidR="00BA53F2" w:rsidRPr="00D900AE">
        <w:rPr>
          <w:rFonts w:asciiTheme="minorHAnsi" w:hAnsiTheme="minorHAnsi"/>
          <w:color w:val="auto"/>
          <w:sz w:val="20"/>
          <w:szCs w:val="20"/>
        </w:rPr>
        <w:t>Octubre</w:t>
      </w:r>
      <w:r w:rsidRPr="00D900AE">
        <w:rPr>
          <w:rFonts w:asciiTheme="minorHAnsi" w:hAnsiTheme="minorHAnsi"/>
          <w:color w:val="auto"/>
          <w:sz w:val="20"/>
          <w:szCs w:val="20"/>
        </w:rPr>
        <w:t xml:space="preserve"> del 201</w:t>
      </w:r>
      <w:r w:rsidR="00850AE5" w:rsidRPr="00D900AE">
        <w:rPr>
          <w:rFonts w:asciiTheme="minorHAnsi" w:hAnsiTheme="minorHAnsi"/>
          <w:color w:val="auto"/>
          <w:sz w:val="20"/>
          <w:szCs w:val="20"/>
        </w:rPr>
        <w:t>6</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900AE">
        <w:rPr>
          <w:rFonts w:asciiTheme="minorHAnsi" w:hAnsiTheme="minorHAnsi"/>
          <w:color w:val="auto"/>
          <w:sz w:val="20"/>
          <w:szCs w:val="20"/>
        </w:rPr>
        <w:t>03</w:t>
      </w:r>
      <w:r w:rsidRPr="001A3D86">
        <w:rPr>
          <w:rFonts w:asciiTheme="minorHAnsi" w:hAnsiTheme="minorHAnsi"/>
          <w:color w:val="auto"/>
          <w:sz w:val="20"/>
          <w:szCs w:val="20"/>
        </w:rPr>
        <w:t xml:space="preserve"> de </w:t>
      </w:r>
      <w:r w:rsidR="00D900AE">
        <w:rPr>
          <w:rFonts w:asciiTheme="minorHAnsi" w:hAnsiTheme="minorHAnsi"/>
          <w:color w:val="auto"/>
          <w:sz w:val="20"/>
          <w:szCs w:val="20"/>
        </w:rPr>
        <w:t>Octubre</w:t>
      </w:r>
      <w:r w:rsidRPr="001A3D86">
        <w:rPr>
          <w:rFonts w:asciiTheme="minorHAnsi" w:hAnsiTheme="minorHAnsi"/>
          <w:color w:val="auto"/>
          <w:sz w:val="20"/>
          <w:szCs w:val="20"/>
        </w:rPr>
        <w:t xml:space="preserve"> del 201</w:t>
      </w:r>
      <w:r w:rsidR="00850AE5">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B4811">
              <w:rPr>
                <w:rFonts w:ascii="Century Gothic" w:hAnsi="Century Gothic" w:cs="Arial"/>
                <w:b/>
                <w:color w:val="000000"/>
                <w:sz w:val="18"/>
              </w:rPr>
              <w:t>N35</w:t>
            </w:r>
            <w:r w:rsidR="00850AE5">
              <w:rPr>
                <w:rFonts w:ascii="Century Gothic" w:hAnsi="Century Gothic" w:cs="Arial"/>
                <w:b/>
                <w:color w:val="000000"/>
                <w:sz w:val="18"/>
              </w:rPr>
              <w:t>-2016</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 PARA EL HOSPITAL REGIONAL DE ALTA ESPECIALIDAD MATERNO INFANTIL</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B4811" w:rsidP="00850AE5">
            <w:pPr>
              <w:jc w:val="center"/>
              <w:rPr>
                <w:rFonts w:ascii="Century Gothic" w:hAnsi="Century Gothic" w:cs="Arial"/>
                <w:sz w:val="16"/>
                <w:szCs w:val="18"/>
              </w:rPr>
            </w:pPr>
            <w:r w:rsidRPr="008B4811">
              <w:rPr>
                <w:rFonts w:ascii="Century Gothic" w:hAnsi="Century Gothic" w:cs="Arial"/>
                <w:sz w:val="16"/>
                <w:szCs w:val="18"/>
              </w:rPr>
              <w:t>11/10/2016</w:t>
            </w:r>
          </w:p>
          <w:p w:rsidR="008B4811" w:rsidRPr="008B4811" w:rsidRDefault="008B4811" w:rsidP="00850AE5">
            <w:pPr>
              <w:jc w:val="center"/>
              <w:rPr>
                <w:rFonts w:ascii="Century Gothic" w:hAnsi="Century Gothic" w:cs="Arial"/>
                <w:sz w:val="16"/>
                <w:szCs w:val="18"/>
              </w:rPr>
            </w:pPr>
            <w:r>
              <w:rPr>
                <w:rFonts w:ascii="Century Gothic" w:hAnsi="Century Gothic" w:cs="Arial"/>
                <w:sz w:val="16"/>
                <w:szCs w:val="18"/>
              </w:rPr>
              <w:t>10</w:t>
            </w:r>
            <w:r w:rsidRPr="008B4811">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B4811" w:rsidP="00B160FB">
            <w:pPr>
              <w:jc w:val="center"/>
              <w:rPr>
                <w:rFonts w:ascii="Century Gothic" w:hAnsi="Century Gothic" w:cs="Arial"/>
                <w:sz w:val="16"/>
                <w:szCs w:val="18"/>
              </w:rPr>
            </w:pPr>
            <w:r w:rsidRPr="008B4811">
              <w:rPr>
                <w:rFonts w:ascii="Century Gothic" w:hAnsi="Century Gothic" w:cs="Arial"/>
                <w:sz w:val="16"/>
                <w:szCs w:val="18"/>
              </w:rPr>
              <w:t>19/10/2016</w:t>
            </w:r>
          </w:p>
          <w:p w:rsidR="007F700B" w:rsidRPr="008B4811" w:rsidRDefault="00850AE5" w:rsidP="008B4811">
            <w:pPr>
              <w:jc w:val="center"/>
              <w:rPr>
                <w:rFonts w:ascii="Century Gothic" w:hAnsi="Century Gothic" w:cs="Arial"/>
                <w:sz w:val="16"/>
                <w:szCs w:val="18"/>
              </w:rPr>
            </w:pPr>
            <w:r w:rsidRPr="008B4811">
              <w:rPr>
                <w:rFonts w:ascii="Century Gothic" w:hAnsi="Century Gothic" w:cs="Arial"/>
                <w:sz w:val="16"/>
                <w:szCs w:val="18"/>
              </w:rPr>
              <w:t>1</w:t>
            </w:r>
            <w:r w:rsidR="008B4811">
              <w:rPr>
                <w:rFonts w:ascii="Century Gothic" w:hAnsi="Century Gothic" w:cs="Arial"/>
                <w:sz w:val="16"/>
                <w:szCs w:val="18"/>
              </w:rPr>
              <w:t>0</w:t>
            </w:r>
            <w:r w:rsidR="007F700B" w:rsidRPr="008B4811">
              <w:rPr>
                <w:rFonts w:ascii="Century Gothic" w:hAnsi="Century Gothic" w:cs="Arial"/>
                <w:sz w:val="16"/>
                <w:szCs w:val="18"/>
              </w:rPr>
              <w:t>:</w:t>
            </w:r>
            <w:r w:rsidR="00B54A80" w:rsidRPr="008B4811">
              <w:rPr>
                <w:rFonts w:ascii="Century Gothic" w:hAnsi="Century Gothic" w:cs="Arial"/>
                <w:sz w:val="16"/>
                <w:szCs w:val="18"/>
              </w:rPr>
              <w:t>0</w:t>
            </w:r>
            <w:r w:rsidR="007F700B" w:rsidRPr="008B481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B4811" w:rsidP="00B160FB">
            <w:pPr>
              <w:jc w:val="center"/>
              <w:rPr>
                <w:rFonts w:ascii="Century Gothic" w:hAnsi="Century Gothic" w:cs="Arial"/>
                <w:sz w:val="16"/>
                <w:szCs w:val="18"/>
              </w:rPr>
            </w:pPr>
            <w:r>
              <w:rPr>
                <w:rFonts w:ascii="Century Gothic" w:hAnsi="Century Gothic" w:cs="Arial"/>
                <w:sz w:val="16"/>
                <w:szCs w:val="18"/>
              </w:rPr>
              <w:t>20</w:t>
            </w:r>
            <w:r w:rsidRPr="008B4811">
              <w:rPr>
                <w:rFonts w:ascii="Century Gothic" w:hAnsi="Century Gothic" w:cs="Arial"/>
                <w:sz w:val="16"/>
                <w:szCs w:val="18"/>
              </w:rPr>
              <w:t>/10/2016</w:t>
            </w:r>
          </w:p>
          <w:p w:rsidR="007F700B" w:rsidRPr="008B4811" w:rsidRDefault="008B4811" w:rsidP="008B4811">
            <w:pPr>
              <w:jc w:val="center"/>
              <w:rPr>
                <w:rFonts w:ascii="Century Gothic" w:hAnsi="Century Gothic" w:cs="Arial"/>
                <w:sz w:val="16"/>
                <w:szCs w:val="18"/>
              </w:rPr>
            </w:pPr>
            <w:r>
              <w:rPr>
                <w:rFonts w:ascii="Century Gothic" w:hAnsi="Century Gothic" w:cs="Arial"/>
                <w:sz w:val="16"/>
                <w:szCs w:val="18"/>
              </w:rPr>
              <w:t>10</w:t>
            </w:r>
            <w:r w:rsidRPr="008B4811">
              <w:rPr>
                <w:rFonts w:ascii="Century Gothic" w:hAnsi="Century Gothic" w:cs="Arial"/>
                <w:sz w:val="16"/>
                <w:szCs w:val="18"/>
              </w:rPr>
              <w:t>:</w:t>
            </w:r>
            <w:r>
              <w:rPr>
                <w:rFonts w:ascii="Century Gothic" w:hAnsi="Century Gothic" w:cs="Arial"/>
                <w:sz w:val="16"/>
                <w:szCs w:val="18"/>
              </w:rPr>
              <w:t>0</w:t>
            </w:r>
            <w:r w:rsidR="00B54A80"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B4811" w:rsidP="00B160FB">
            <w:pPr>
              <w:jc w:val="center"/>
              <w:rPr>
                <w:rFonts w:ascii="Century Gothic" w:hAnsi="Century Gothic" w:cs="Arial"/>
                <w:sz w:val="16"/>
                <w:szCs w:val="18"/>
              </w:rPr>
            </w:pPr>
            <w:r>
              <w:rPr>
                <w:rFonts w:ascii="Century Gothic" w:hAnsi="Century Gothic" w:cs="Arial"/>
                <w:sz w:val="16"/>
                <w:szCs w:val="18"/>
              </w:rPr>
              <w:t>20</w:t>
            </w:r>
            <w:r w:rsidRPr="008B4811">
              <w:rPr>
                <w:rFonts w:ascii="Century Gothic" w:hAnsi="Century Gothic" w:cs="Arial"/>
                <w:sz w:val="16"/>
                <w:szCs w:val="18"/>
              </w:rPr>
              <w:t>/10/2016</w:t>
            </w:r>
          </w:p>
          <w:p w:rsidR="007F700B" w:rsidRPr="008B4811" w:rsidRDefault="008B4811" w:rsidP="00850AE5">
            <w:pPr>
              <w:jc w:val="center"/>
              <w:rPr>
                <w:rFonts w:ascii="Century Gothic" w:hAnsi="Century Gothic" w:cs="Arial"/>
                <w:sz w:val="16"/>
                <w:szCs w:val="18"/>
              </w:rPr>
            </w:pPr>
            <w:r w:rsidRPr="008B4811">
              <w:rPr>
                <w:rFonts w:ascii="Century Gothic" w:hAnsi="Century Gothic" w:cs="Arial"/>
                <w:sz w:val="16"/>
                <w:szCs w:val="18"/>
              </w:rPr>
              <w:t>10</w:t>
            </w:r>
            <w:r w:rsidR="007F700B" w:rsidRPr="008B4811">
              <w:rPr>
                <w:rFonts w:ascii="Century Gothic" w:hAnsi="Century Gothic" w:cs="Arial"/>
                <w:sz w:val="16"/>
                <w:szCs w:val="18"/>
              </w:rPr>
              <w:t>:</w:t>
            </w:r>
            <w:r>
              <w:rPr>
                <w:rFonts w:ascii="Century Gothic" w:hAnsi="Century Gothic" w:cs="Arial"/>
                <w:sz w:val="16"/>
                <w:szCs w:val="18"/>
              </w:rPr>
              <w:t>3</w:t>
            </w:r>
            <w:r w:rsidR="00850AE5"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B4811" w:rsidP="00B160FB">
            <w:pPr>
              <w:jc w:val="center"/>
              <w:rPr>
                <w:rFonts w:ascii="Century Gothic" w:hAnsi="Century Gothic" w:cs="Arial"/>
                <w:sz w:val="16"/>
                <w:szCs w:val="18"/>
              </w:rPr>
            </w:pPr>
            <w:r>
              <w:rPr>
                <w:rFonts w:ascii="Century Gothic" w:hAnsi="Century Gothic" w:cs="Arial"/>
                <w:sz w:val="16"/>
                <w:szCs w:val="18"/>
              </w:rPr>
              <w:t>20</w:t>
            </w:r>
            <w:r w:rsidR="007F700B" w:rsidRPr="008B4811">
              <w:rPr>
                <w:rFonts w:ascii="Century Gothic" w:hAnsi="Century Gothic" w:cs="Arial"/>
                <w:sz w:val="16"/>
                <w:szCs w:val="18"/>
              </w:rPr>
              <w:t>/</w:t>
            </w:r>
            <w:r w:rsidRPr="008B4811">
              <w:rPr>
                <w:rFonts w:ascii="Century Gothic" w:hAnsi="Century Gothic" w:cs="Arial"/>
                <w:sz w:val="16"/>
                <w:szCs w:val="18"/>
              </w:rPr>
              <w:t>10</w:t>
            </w:r>
            <w:r w:rsidR="007F700B" w:rsidRPr="008B4811">
              <w:rPr>
                <w:rFonts w:ascii="Century Gothic" w:hAnsi="Century Gothic" w:cs="Arial"/>
                <w:sz w:val="16"/>
                <w:szCs w:val="18"/>
              </w:rPr>
              <w:t>/201</w:t>
            </w:r>
            <w:r w:rsidR="00B54A80" w:rsidRPr="008B4811">
              <w:rPr>
                <w:rFonts w:ascii="Century Gothic" w:hAnsi="Century Gothic" w:cs="Arial"/>
                <w:sz w:val="16"/>
                <w:szCs w:val="18"/>
              </w:rPr>
              <w:t>6</w:t>
            </w:r>
          </w:p>
          <w:p w:rsidR="007F700B" w:rsidRPr="008B4811" w:rsidRDefault="008B4811" w:rsidP="00850AE5">
            <w:pPr>
              <w:jc w:val="center"/>
              <w:rPr>
                <w:rFonts w:ascii="Century Gothic" w:hAnsi="Century Gothic" w:cs="Arial"/>
                <w:sz w:val="16"/>
                <w:szCs w:val="18"/>
              </w:rPr>
            </w:pPr>
            <w:r w:rsidRPr="008B4811">
              <w:rPr>
                <w:rFonts w:ascii="Century Gothic" w:hAnsi="Century Gothic" w:cs="Arial"/>
                <w:sz w:val="16"/>
                <w:szCs w:val="18"/>
              </w:rPr>
              <w:t>1</w:t>
            </w:r>
            <w:r>
              <w:rPr>
                <w:rFonts w:ascii="Century Gothic" w:hAnsi="Century Gothic" w:cs="Arial"/>
                <w:sz w:val="16"/>
                <w:szCs w:val="18"/>
              </w:rPr>
              <w:t>1</w:t>
            </w:r>
            <w:r w:rsidR="007F700B" w:rsidRPr="008B4811">
              <w:rPr>
                <w:rFonts w:ascii="Century Gothic" w:hAnsi="Century Gothic" w:cs="Arial"/>
                <w:sz w:val="16"/>
                <w:szCs w:val="18"/>
              </w:rPr>
              <w:t>:</w:t>
            </w:r>
            <w:r>
              <w:rPr>
                <w:rFonts w:ascii="Century Gothic" w:hAnsi="Century Gothic" w:cs="Arial"/>
                <w:sz w:val="16"/>
                <w:szCs w:val="18"/>
              </w:rPr>
              <w:t>0</w:t>
            </w:r>
            <w:r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B481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850AE5">
              <w:rPr>
                <w:rFonts w:ascii="Century Gothic" w:hAnsi="Century Gothic" w:cs="Arial"/>
                <w:sz w:val="16"/>
                <w:szCs w:val="18"/>
              </w:rPr>
              <w:t>0</w:t>
            </w:r>
            <w:r w:rsidR="008B4811">
              <w:rPr>
                <w:rFonts w:ascii="Century Gothic" w:hAnsi="Century Gothic" w:cs="Arial"/>
                <w:sz w:val="16"/>
                <w:szCs w:val="18"/>
              </w:rPr>
              <w:t>3</w:t>
            </w:r>
            <w:r w:rsidRPr="008C4582">
              <w:rPr>
                <w:rFonts w:ascii="Century Gothic" w:hAnsi="Century Gothic" w:cs="Arial"/>
                <w:sz w:val="16"/>
                <w:szCs w:val="18"/>
              </w:rPr>
              <w:t xml:space="preserve"> de </w:t>
            </w:r>
            <w:r w:rsidR="008B4811">
              <w:rPr>
                <w:rFonts w:ascii="Century Gothic" w:hAnsi="Century Gothic" w:cs="Arial"/>
                <w:sz w:val="16"/>
                <w:szCs w:val="18"/>
              </w:rPr>
              <w:t>Noviembre</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Default="00B51281" w:rsidP="005E531C">
      <w:pPr>
        <w:ind w:right="-1"/>
        <w:jc w:val="both"/>
        <w:rPr>
          <w:rFonts w:ascii="Calibri" w:hAnsi="Calibri"/>
          <w:b/>
        </w:rPr>
      </w:pPr>
    </w:p>
    <w:p w:rsidR="00465321" w:rsidRDefault="00465321" w:rsidP="005E531C">
      <w:pPr>
        <w:ind w:right="-1"/>
        <w:jc w:val="both"/>
        <w:rPr>
          <w:rFonts w:ascii="Calibri" w:hAnsi="Calibri"/>
          <w:b/>
        </w:rPr>
      </w:pPr>
    </w:p>
    <w:p w:rsidR="00465321" w:rsidRDefault="0046532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58528D">
        <w:rPr>
          <w:rFonts w:ascii="Calibri" w:hAnsi="Calibri"/>
        </w:rPr>
        <w:t>, será del 31</w:t>
      </w:r>
      <w:r w:rsidRPr="009E04A4">
        <w:rPr>
          <w:rFonts w:ascii="Calibri" w:hAnsi="Calibri"/>
        </w:rPr>
        <w:t xml:space="preserve"> de </w:t>
      </w:r>
      <w:r w:rsidR="004E0EAA">
        <w:rPr>
          <w:rFonts w:ascii="Calibri" w:hAnsi="Calibri"/>
        </w:rPr>
        <w:t>Enero</w:t>
      </w:r>
      <w:r w:rsidRPr="009E04A4">
        <w:rPr>
          <w:rFonts w:ascii="Calibri" w:hAnsi="Calibri"/>
        </w:rPr>
        <w:t xml:space="preserve"> del 201</w:t>
      </w:r>
      <w:r w:rsidR="009E04A4">
        <w:rPr>
          <w:rFonts w:ascii="Calibri" w:hAnsi="Calibri"/>
        </w:rPr>
        <w:t>6</w:t>
      </w:r>
      <w:r w:rsidRPr="009E04A4">
        <w:rPr>
          <w:rFonts w:ascii="Calibri" w:hAnsi="Calibri"/>
        </w:rPr>
        <w:t xml:space="preserve"> al </w:t>
      </w:r>
      <w:r w:rsidR="006F697A" w:rsidRPr="009E04A4">
        <w:rPr>
          <w:rFonts w:ascii="Calibri" w:hAnsi="Calibri"/>
        </w:rPr>
        <w:t>3</w:t>
      </w:r>
      <w:r w:rsidR="0076312A">
        <w:rPr>
          <w:rFonts w:ascii="Calibri" w:hAnsi="Calibri"/>
        </w:rPr>
        <w:t>1</w:t>
      </w:r>
      <w:r w:rsidRPr="009E04A4">
        <w:rPr>
          <w:rFonts w:ascii="Calibri" w:hAnsi="Calibri"/>
        </w:rPr>
        <w:t xml:space="preserve"> de </w:t>
      </w:r>
      <w:r w:rsidR="0088687B">
        <w:rPr>
          <w:rFonts w:ascii="Calibri" w:hAnsi="Calibri"/>
        </w:rPr>
        <w:t>Julio</w:t>
      </w:r>
      <w:r w:rsidRPr="009E04A4">
        <w:rPr>
          <w:rFonts w:ascii="Calibri" w:hAnsi="Calibri"/>
        </w:rPr>
        <w:t xml:space="preserve"> del 201</w:t>
      </w:r>
      <w:r w:rsidR="009E04A4">
        <w:rPr>
          <w:rFonts w:ascii="Calibri" w:hAnsi="Calibri"/>
        </w:rPr>
        <w:t>6</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8B4811">
        <w:rPr>
          <w:rFonts w:asciiTheme="minorHAnsi" w:hAnsiTheme="minorHAnsi"/>
          <w:b/>
        </w:rPr>
        <w:t>03</w:t>
      </w:r>
      <w:r w:rsidRPr="0078059E">
        <w:rPr>
          <w:rFonts w:asciiTheme="minorHAnsi" w:hAnsiTheme="minorHAnsi"/>
          <w:b/>
        </w:rPr>
        <w:t xml:space="preserve"> DE </w:t>
      </w:r>
      <w:r w:rsidR="008B4811">
        <w:rPr>
          <w:rFonts w:asciiTheme="minorHAnsi" w:hAnsiTheme="minorHAnsi"/>
          <w:b/>
        </w:rPr>
        <w:t>OCTUBRE</w:t>
      </w:r>
      <w:r w:rsidR="000D7D14" w:rsidRPr="0078059E">
        <w:rPr>
          <w:rFonts w:asciiTheme="minorHAnsi" w:hAnsiTheme="minorHAnsi"/>
          <w:b/>
        </w:rPr>
        <w:t xml:space="preserve"> DEL 201</w:t>
      </w:r>
      <w:r w:rsidR="00FD4E0F">
        <w:rPr>
          <w:rFonts w:asciiTheme="minorHAnsi" w:hAnsiTheme="minorHAnsi"/>
          <w:b/>
        </w:rPr>
        <w:t>6</w:t>
      </w:r>
    </w:p>
    <w:p w:rsidR="008213A0" w:rsidRDefault="008213A0" w:rsidP="007F0B73">
      <w:pPr>
        <w:ind w:right="284"/>
        <w:jc w:val="center"/>
        <w:rPr>
          <w:rFonts w:asciiTheme="minorHAnsi" w:hAnsiTheme="minorHAnsi"/>
          <w:b/>
        </w:rPr>
      </w:pPr>
    </w:p>
    <w:p w:rsidR="00B15464" w:rsidRDefault="00B15464" w:rsidP="007F0B73">
      <w:pPr>
        <w:ind w:right="284"/>
        <w:jc w:val="center"/>
        <w:rPr>
          <w:rFonts w:asciiTheme="minorHAnsi" w:hAnsiTheme="minorHAnsi"/>
          <w:b/>
        </w:rPr>
      </w:pPr>
    </w:p>
    <w:p w:rsidR="004A5F4A" w:rsidRDefault="004A5F4A" w:rsidP="007F0B73">
      <w:pPr>
        <w:ind w:right="284"/>
        <w:jc w:val="center"/>
        <w:rPr>
          <w:rFonts w:asciiTheme="minorHAnsi" w:hAnsiTheme="minorHAnsi"/>
          <w:b/>
        </w:rPr>
      </w:pPr>
    </w:p>
    <w:p w:rsidR="004A5F4A" w:rsidRDefault="004A5F4A"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FD4E0F">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Pr="002C5387"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D900AE">
                  <w:pPr>
                    <w:jc w:val="center"/>
                    <w:rPr>
                      <w:rFonts w:ascii="Calibri" w:hAnsi="Calibri"/>
                      <w:color w:val="000000"/>
                      <w:szCs w:val="22"/>
                    </w:rPr>
                  </w:pPr>
                  <w:r>
                    <w:rPr>
                      <w:rFonts w:ascii="Calibri" w:hAnsi="Calibri"/>
                      <w:color w:val="000000"/>
                      <w:szCs w:val="22"/>
                    </w:rPr>
                    <w:t>19,462</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D900AE">
                  <w:pPr>
                    <w:jc w:val="center"/>
                    <w:rPr>
                      <w:rFonts w:ascii="Calibri" w:hAnsi="Calibri"/>
                      <w:color w:val="000000"/>
                      <w:szCs w:val="22"/>
                    </w:rPr>
                  </w:pPr>
                  <w:r>
                    <w:rPr>
                      <w:rFonts w:ascii="Calibri" w:hAnsi="Calibri"/>
                      <w:color w:val="000000"/>
                      <w:szCs w:val="22"/>
                    </w:rPr>
                    <w:t>23,833</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D900AE">
                  <w:pPr>
                    <w:jc w:val="center"/>
                    <w:rPr>
                      <w:rFonts w:ascii="Calibri" w:hAnsi="Calibri"/>
                      <w:color w:val="000000"/>
                      <w:szCs w:val="22"/>
                    </w:rPr>
                  </w:pPr>
                  <w:r>
                    <w:rPr>
                      <w:rFonts w:ascii="Calibri" w:hAnsi="Calibri"/>
                      <w:color w:val="000000"/>
                      <w:szCs w:val="22"/>
                    </w:rPr>
                    <w:t>17,045</w:t>
                  </w:r>
                </w:p>
              </w:tc>
            </w:tr>
            <w:tr w:rsidR="001126A6"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1126A6" w:rsidRPr="00610EC6" w:rsidRDefault="001126A6" w:rsidP="000F54D5">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1126A6" w:rsidRPr="00610EC6" w:rsidRDefault="001126A6" w:rsidP="000F54D5">
                  <w:pPr>
                    <w:spacing w:before="120" w:after="120"/>
                    <w:jc w:val="center"/>
                    <w:rPr>
                      <w:rFonts w:asciiTheme="minorHAnsi" w:hAnsiTheme="minorHAnsi" w:cs="Tahoma"/>
                      <w:snapToGrid w:val="0"/>
                      <w:color w:val="000000"/>
                      <w:sz w:val="16"/>
                      <w:szCs w:val="16"/>
                    </w:rPr>
                  </w:pPr>
                  <w:r w:rsidRPr="00610EC6">
                    <w:rPr>
                      <w:rFonts w:asciiTheme="minorHAnsi" w:hAnsiTheme="minorHAnsi" w:cs="Tahoma"/>
                      <w:snapToGrid w:val="0"/>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A6" w:rsidRPr="001126A6" w:rsidRDefault="00D900AE">
                  <w:pPr>
                    <w:jc w:val="center"/>
                    <w:rPr>
                      <w:rFonts w:ascii="Calibri" w:hAnsi="Calibri"/>
                      <w:color w:val="000000"/>
                      <w:szCs w:val="22"/>
                    </w:rPr>
                  </w:pPr>
                  <w:r>
                    <w:rPr>
                      <w:rFonts w:ascii="Calibri" w:hAnsi="Calibri"/>
                      <w:color w:val="000000"/>
                      <w:szCs w:val="22"/>
                    </w:rPr>
                    <w:t>22,104</w:t>
                  </w:r>
                </w:p>
              </w:tc>
            </w:tr>
          </w:tbl>
          <w:p w:rsidR="004225BD" w:rsidRDefault="004225BD" w:rsidP="00DF2059">
            <w:pPr>
              <w:jc w:val="center"/>
              <w:rPr>
                <w:rFonts w:asciiTheme="minorHAnsi" w:hAnsiTheme="minorHAnsi" w:cs="AvantGarde Bk BT"/>
                <w:color w:val="000000"/>
              </w:rPr>
            </w:pPr>
          </w:p>
          <w:p w:rsidR="00EE6449" w:rsidRPr="002C5387" w:rsidRDefault="001126A6" w:rsidP="00EE6449">
            <w:pPr>
              <w:jc w:val="center"/>
              <w:rPr>
                <w:rFonts w:asciiTheme="minorHAnsi" w:hAnsiTheme="minorHAnsi" w:cs="AvantGarde Bk BT"/>
                <w:color w:val="000000"/>
              </w:rPr>
            </w:pPr>
            <w:r>
              <w:rPr>
                <w:rFonts w:asciiTheme="minorHAnsi" w:hAnsiTheme="minorHAnsi" w:cs="AvantGarde Bk BT"/>
                <w:color w:val="000000"/>
              </w:rPr>
              <w:t xml:space="preserve"> </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8B4811">
              <w:rPr>
                <w:rFonts w:ascii="Calibri" w:hAnsi="Calibri"/>
                <w:bCs/>
              </w:rPr>
              <w:t>N35</w:t>
            </w:r>
            <w:r w:rsidR="00FD4E0F">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lastRenderedPageBreak/>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B4811">
              <w:rPr>
                <w:rFonts w:asciiTheme="minorHAnsi" w:hAnsiTheme="minorHAnsi" w:cs="Arial"/>
                <w:bCs/>
                <w:u w:val="single"/>
              </w:rPr>
              <w:t>N35</w:t>
            </w:r>
            <w:r w:rsidR="00FD4E0F">
              <w:rPr>
                <w:rFonts w:asciiTheme="minorHAnsi" w:hAnsiTheme="minorHAns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lastRenderedPageBreak/>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B4811">
        <w:rPr>
          <w:rFonts w:ascii="Calibri" w:hAnsi="Calibri" w:cs="Calibri"/>
          <w:b/>
          <w:bCs/>
          <w:sz w:val="20"/>
          <w:szCs w:val="20"/>
        </w:rPr>
        <w:t>N35</w:t>
      </w:r>
      <w:r w:rsidR="00FD4E0F">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F32D4A">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32D4A">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8B4811">
        <w:rPr>
          <w:rFonts w:asciiTheme="minorHAnsi" w:hAnsiTheme="minorHAnsi" w:cstheme="minorHAnsi"/>
          <w:b/>
          <w:u w:val="single"/>
        </w:rPr>
        <w:t>N35</w:t>
      </w:r>
      <w:r w:rsidR="00FD4E0F">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8B4811">
        <w:rPr>
          <w:rFonts w:ascii="Calibri" w:hAnsi="Calibri" w:cs="Calibri"/>
          <w:b/>
          <w:bCs/>
          <w:sz w:val="20"/>
          <w:szCs w:val="20"/>
        </w:rPr>
        <w:t>N35</w:t>
      </w:r>
      <w:r w:rsidR="00FD4E0F">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8B4811">
        <w:rPr>
          <w:rFonts w:ascii="Calibri" w:hAnsi="Calibri"/>
          <w:b/>
          <w:bCs/>
          <w:sz w:val="20"/>
          <w:szCs w:val="20"/>
        </w:rPr>
        <w:t>N35</w:t>
      </w:r>
      <w:r w:rsidR="0049069A">
        <w:rPr>
          <w:rFonts w:ascii="Calibri" w:hAnsi="Calibri"/>
          <w:b/>
          <w:bCs/>
          <w:sz w:val="20"/>
          <w:szCs w:val="20"/>
        </w:rPr>
        <w:t>-2016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w:t>
            </w:r>
            <w:proofErr w:type="gramStart"/>
            <w:r w:rsidRPr="00A51D29">
              <w:rPr>
                <w:rFonts w:asciiTheme="minorHAnsi" w:hAnsiTheme="minorHAnsi"/>
                <w:sz w:val="14"/>
                <w:szCs w:val="14"/>
              </w:rPr>
              <w:t>,000,000</w:t>
            </w:r>
            <w:r>
              <w:rPr>
                <w:rFonts w:asciiTheme="minorHAnsi" w:hAnsiTheme="minorHAnsi"/>
                <w:sz w:val="14"/>
                <w:szCs w:val="14"/>
              </w:rPr>
              <w:t>.00</w:t>
            </w:r>
            <w:proofErr w:type="gramEnd"/>
            <w:r>
              <w:rPr>
                <w:rFonts w:asciiTheme="minorHAnsi" w:hAnsiTheme="minorHAnsi"/>
                <w:sz w:val="14"/>
                <w:szCs w:val="14"/>
              </w:rPr>
              <w:t xml:space="preserve">,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B4811">
        <w:rPr>
          <w:rFonts w:asciiTheme="minorHAnsi" w:hAnsiTheme="minorHAnsi"/>
          <w:color w:val="auto"/>
          <w:sz w:val="18"/>
          <w:szCs w:val="16"/>
        </w:rPr>
        <w:t>N35</w:t>
      </w:r>
      <w:r w:rsidR="00FD4E0F">
        <w:rPr>
          <w:rFonts w:asciiTheme="minorHAnsi" w:hAnsiTheme="minorHAnsi"/>
          <w:color w:val="auto"/>
          <w:sz w:val="18"/>
          <w:szCs w:val="16"/>
        </w:rPr>
        <w:t>-2016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B4811">
        <w:rPr>
          <w:rFonts w:asciiTheme="minorHAnsi" w:hAnsiTheme="minorHAnsi"/>
          <w:color w:val="auto"/>
          <w:sz w:val="18"/>
          <w:szCs w:val="16"/>
        </w:rPr>
        <w:t>N35</w:t>
      </w:r>
      <w:r w:rsidR="00FD4E0F">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 xml:space="preserve">C.P. </w:t>
      </w:r>
      <w:proofErr w:type="spellStart"/>
      <w:r w:rsidR="00BF0E8B">
        <w:rPr>
          <w:rFonts w:asciiTheme="minorHAnsi" w:hAnsiTheme="minorHAnsi"/>
          <w:sz w:val="17"/>
          <w:szCs w:val="17"/>
        </w:rPr>
        <w:t>Aaron</w:t>
      </w:r>
      <w:proofErr w:type="spellEnd"/>
      <w:r w:rsidR="00BF0E8B">
        <w:rPr>
          <w:rFonts w:asciiTheme="minorHAnsi" w:hAnsiTheme="minorHAnsi"/>
          <w:sz w:val="17"/>
          <w:szCs w:val="17"/>
        </w:rPr>
        <w:t xml:space="preserve">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8B4811">
        <w:rPr>
          <w:rFonts w:asciiTheme="minorHAnsi" w:hAnsiTheme="minorHAnsi"/>
          <w:sz w:val="17"/>
          <w:szCs w:val="17"/>
        </w:rPr>
        <w:t>N35</w:t>
      </w:r>
      <w:r w:rsidR="0049069A">
        <w:rPr>
          <w:rFonts w:asciiTheme="minorHAnsi" w:hAnsiTheme="minorHAnsi"/>
          <w:sz w:val="17"/>
          <w:szCs w:val="17"/>
        </w:rPr>
        <w:t>-2016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w:t>
      </w:r>
      <w:r w:rsidR="008B4811">
        <w:rPr>
          <w:rFonts w:asciiTheme="minorHAnsi" w:hAnsiTheme="minorHAnsi" w:cs="Tahoma"/>
          <w:sz w:val="17"/>
          <w:szCs w:val="17"/>
        </w:rPr>
        <w:t>N35</w:t>
      </w:r>
      <w:r w:rsidRPr="0049069A">
        <w:rPr>
          <w:rFonts w:asciiTheme="minorHAnsi" w:hAnsiTheme="minorHAnsi" w:cs="Tahoma"/>
          <w:sz w:val="17"/>
          <w:szCs w:val="17"/>
        </w:rPr>
        <w:t>-201</w:t>
      </w:r>
      <w:r>
        <w:rPr>
          <w:rFonts w:asciiTheme="minorHAnsi" w:hAnsiTheme="minorHAnsi" w:cs="Tahoma"/>
          <w:sz w:val="17"/>
          <w:szCs w:val="17"/>
        </w:rPr>
        <w:t>6</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 xml:space="preserve">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reacciones febriles,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w:t>
      </w:r>
      <w:r w:rsidRPr="0049069A">
        <w:rPr>
          <w:rFonts w:asciiTheme="minorHAnsi" w:hAnsiTheme="minorHAnsi" w:cs="Tahoma"/>
          <w:sz w:val="17"/>
          <w:szCs w:val="17"/>
        </w:rPr>
        <w:lastRenderedPageBreak/>
        <w:t>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805"/>
        <w:gridCol w:w="7715"/>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 xml:space="preserve">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w:t>
      </w:r>
      <w:r w:rsidRPr="00BA53F2">
        <w:rPr>
          <w:rFonts w:asciiTheme="minorHAnsi" w:hAnsiTheme="minorHAnsi" w:cs="Tahoma"/>
          <w:sz w:val="17"/>
          <w:szCs w:val="17"/>
        </w:rPr>
        <w:lastRenderedPageBreak/>
        <w:t>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VIGÉSIMA: JURISDICCIÓN.- Para la interpretación y cumplimiento del presente instrumento, así como para todo aquello que no esté expresamente estipulado en el mismo, las partes lo resolverán de </w:t>
      </w:r>
      <w:bookmarkStart w:id="0" w:name="_GoBack"/>
      <w:bookmarkEnd w:id="0"/>
      <w:r w:rsidRPr="0049069A">
        <w:rPr>
          <w:rFonts w:asciiTheme="minorHAnsi" w:hAnsiTheme="minorHAnsi" w:cs="Tahoma"/>
          <w:sz w:val="17"/>
          <w:szCs w:val="17"/>
        </w:rPr>
        <w:t>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lastRenderedPageBreak/>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A1" w:rsidRDefault="008937A1" w:rsidP="007F0B73">
      <w:r>
        <w:separator/>
      </w:r>
    </w:p>
  </w:endnote>
  <w:endnote w:type="continuationSeparator" w:id="0">
    <w:p w:rsidR="008937A1" w:rsidRDefault="008937A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5312C0" w:rsidRPr="00CE2E1F" w:rsidRDefault="005312C0" w:rsidP="004C675C">
        <w:pPr>
          <w:pStyle w:val="Piedepgina"/>
          <w:jc w:val="center"/>
          <w:rPr>
            <w:b/>
            <w:color w:val="009999"/>
          </w:rPr>
        </w:pPr>
        <w:r>
          <w:rPr>
            <w:color w:val="009999"/>
          </w:rPr>
          <w:t>_____________________________________________________________________________________________________</w:t>
        </w:r>
      </w:p>
      <w:p w:rsidR="005312C0" w:rsidRDefault="005312C0" w:rsidP="004C675C">
        <w:pPr>
          <w:pStyle w:val="Piedepgina"/>
          <w:ind w:right="-232" w:hanging="284"/>
          <w:jc w:val="center"/>
          <w:rPr>
            <w:rFonts w:ascii="Century Gothic" w:hAnsi="Century Gothic"/>
            <w:b/>
            <w:color w:val="009999"/>
            <w:sz w:val="18"/>
            <w:szCs w:val="14"/>
          </w:rPr>
        </w:pPr>
      </w:p>
      <w:p w:rsidR="005312C0" w:rsidRPr="00CE2E1F" w:rsidRDefault="005312C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312C0" w:rsidRPr="00CE2E1F" w:rsidRDefault="005312C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N35-2016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A4770">
                  <w:rPr>
                    <w:rFonts w:ascii="Century Gothic" w:hAnsi="Century Gothic"/>
                    <w:b/>
                    <w:noProof/>
                    <w:color w:val="009999"/>
                    <w:sz w:val="18"/>
                    <w:szCs w:val="16"/>
                  </w:rPr>
                  <w:t>51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A4770">
                  <w:rPr>
                    <w:rFonts w:ascii="Century Gothic" w:hAnsi="Century Gothic"/>
                    <w:b/>
                    <w:noProof/>
                    <w:color w:val="009999"/>
                    <w:sz w:val="18"/>
                    <w:szCs w:val="16"/>
                  </w:rPr>
                  <w:t>51</w:t>
                </w:r>
                <w:r w:rsidRPr="00CE2E1F">
                  <w:rPr>
                    <w:rFonts w:ascii="Century Gothic" w:hAnsi="Century Gothic"/>
                    <w:b/>
                    <w:color w:val="009999"/>
                    <w:sz w:val="18"/>
                    <w:szCs w:val="16"/>
                  </w:rPr>
                  <w:fldChar w:fldCharType="end"/>
                </w:r>
              </w:sdtContent>
            </w:sdt>
          </w:sdtContent>
        </w:sdt>
      </w:p>
      <w:p w:rsidR="005312C0" w:rsidRPr="00CE2E1F" w:rsidRDefault="005312C0" w:rsidP="004C675C">
        <w:pPr>
          <w:pStyle w:val="Piedepgina"/>
          <w:jc w:val="center"/>
          <w:rPr>
            <w:b/>
            <w:color w:val="009999"/>
          </w:rPr>
        </w:pPr>
      </w:p>
    </w:sdtContent>
  </w:sdt>
  <w:p w:rsidR="005312C0" w:rsidRPr="004C675C" w:rsidRDefault="005312C0" w:rsidP="004C675C">
    <w:pPr>
      <w:pStyle w:val="Piedepgina"/>
    </w:pPr>
  </w:p>
  <w:p w:rsidR="005312C0" w:rsidRDefault="005312C0"/>
  <w:p w:rsidR="005312C0" w:rsidRDefault="005312C0"/>
  <w:p w:rsidR="005312C0" w:rsidRDefault="005312C0"/>
  <w:p w:rsidR="005312C0" w:rsidRDefault="005312C0"/>
  <w:p w:rsidR="005312C0" w:rsidRDefault="00531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A1" w:rsidRDefault="008937A1" w:rsidP="007F0B73">
      <w:r>
        <w:separator/>
      </w:r>
    </w:p>
  </w:footnote>
  <w:footnote w:type="continuationSeparator" w:id="0">
    <w:p w:rsidR="008937A1" w:rsidRDefault="008937A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C0" w:rsidRPr="00C765F1" w:rsidRDefault="005312C0"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312C0" w:rsidRPr="00C765F1" w:rsidRDefault="005312C0" w:rsidP="00313C66">
    <w:pPr>
      <w:jc w:val="center"/>
      <w:rPr>
        <w:rFonts w:ascii="Corbel" w:hAnsi="Corbel"/>
        <w:b/>
        <w:szCs w:val="16"/>
      </w:rPr>
    </w:pPr>
    <w:r w:rsidRPr="00C765F1">
      <w:rPr>
        <w:rFonts w:ascii="Corbel" w:hAnsi="Corbel"/>
        <w:b/>
        <w:szCs w:val="16"/>
      </w:rPr>
      <w:t>SERVICIOS DE SALUD DE NUEVO LEÓN</w:t>
    </w:r>
  </w:p>
  <w:p w:rsidR="005312C0" w:rsidRPr="00180FA7" w:rsidRDefault="005312C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312C0" w:rsidRDefault="005312C0"/>
  <w:p w:rsidR="005312C0" w:rsidRDefault="005312C0"/>
  <w:p w:rsidR="005312C0" w:rsidRDefault="005312C0"/>
  <w:p w:rsidR="005312C0" w:rsidRDefault="005312C0"/>
  <w:p w:rsidR="005312C0" w:rsidRDefault="005312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126A6"/>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1B92"/>
    <w:rsid w:val="001A2B75"/>
    <w:rsid w:val="001A3AC3"/>
    <w:rsid w:val="001A6EAA"/>
    <w:rsid w:val="001B5AF2"/>
    <w:rsid w:val="001B762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B00"/>
    <w:rsid w:val="003C4302"/>
    <w:rsid w:val="003C5784"/>
    <w:rsid w:val="003C7CE4"/>
    <w:rsid w:val="003D4EF5"/>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0196"/>
    <w:rsid w:val="004F278A"/>
    <w:rsid w:val="004F27C5"/>
    <w:rsid w:val="00502229"/>
    <w:rsid w:val="0050254B"/>
    <w:rsid w:val="00502717"/>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2CB9"/>
    <w:rsid w:val="006F697A"/>
    <w:rsid w:val="0070099E"/>
    <w:rsid w:val="007032AA"/>
    <w:rsid w:val="0070490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37271"/>
    <w:rsid w:val="00941BB2"/>
    <w:rsid w:val="009549E5"/>
    <w:rsid w:val="00955C15"/>
    <w:rsid w:val="00965EEA"/>
    <w:rsid w:val="00970B27"/>
    <w:rsid w:val="00973CB8"/>
    <w:rsid w:val="009765D5"/>
    <w:rsid w:val="0098036D"/>
    <w:rsid w:val="00981B5A"/>
    <w:rsid w:val="009841A6"/>
    <w:rsid w:val="00985062"/>
    <w:rsid w:val="0098589F"/>
    <w:rsid w:val="00987D05"/>
    <w:rsid w:val="00990461"/>
    <w:rsid w:val="009912D6"/>
    <w:rsid w:val="00994864"/>
    <w:rsid w:val="009952B4"/>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C2D"/>
    <w:rsid w:val="00B11CDC"/>
    <w:rsid w:val="00B126C8"/>
    <w:rsid w:val="00B13DAB"/>
    <w:rsid w:val="00B15316"/>
    <w:rsid w:val="00B15464"/>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0E8B"/>
    <w:rsid w:val="00BF2EBF"/>
    <w:rsid w:val="00BF6189"/>
    <w:rsid w:val="00C02600"/>
    <w:rsid w:val="00C06B6F"/>
    <w:rsid w:val="00C1246A"/>
    <w:rsid w:val="00C14267"/>
    <w:rsid w:val="00C17DC4"/>
    <w:rsid w:val="00C23C68"/>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35C7"/>
    <w:rsid w:val="00C77B3E"/>
    <w:rsid w:val="00C77E3E"/>
    <w:rsid w:val="00C80593"/>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E"/>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0461E"/>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71BB"/>
    <w:rsid w:val="00F372BA"/>
    <w:rsid w:val="00F37F8E"/>
    <w:rsid w:val="00F40439"/>
    <w:rsid w:val="00F47B28"/>
    <w:rsid w:val="00F52141"/>
    <w:rsid w:val="00F522E1"/>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775E-9E43-4376-8305-B4A18EAD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21948</Words>
  <Characters>120720</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2016-09-26T15:00:00Z</cp:lastPrinted>
  <dcterms:created xsi:type="dcterms:W3CDTF">2016-10-03T23:09:00Z</dcterms:created>
  <dcterms:modified xsi:type="dcterms:W3CDTF">2016-10-04T00:09:00Z</dcterms:modified>
</cp:coreProperties>
</file>